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28E" w:rsidRDefault="0035028E" w:rsidP="00E14D9F">
      <w:pPr>
        <w:rPr>
          <w:b/>
          <w:sz w:val="28"/>
        </w:rPr>
      </w:pPr>
      <w:bookmarkStart w:id="0" w:name="_GoBack"/>
      <w:bookmarkEnd w:id="0"/>
      <w:r w:rsidRPr="00395D50">
        <w:rPr>
          <w:b/>
          <w:sz w:val="28"/>
        </w:rPr>
        <w:t xml:space="preserve">Scrutiny Recommendation Tracker </w:t>
      </w:r>
      <w:r w:rsidR="00B349C0">
        <w:rPr>
          <w:b/>
          <w:sz w:val="28"/>
        </w:rPr>
        <w:t>Jan – Feb 2016</w:t>
      </w:r>
    </w:p>
    <w:p w:rsidR="007859AE" w:rsidRDefault="007859AE" w:rsidP="0035028E">
      <w:pPr>
        <w:jc w:val="center"/>
        <w:rPr>
          <w:b/>
          <w:sz w:val="28"/>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426"/>
        <w:gridCol w:w="283"/>
        <w:gridCol w:w="284"/>
        <w:gridCol w:w="141"/>
        <w:gridCol w:w="426"/>
        <w:gridCol w:w="283"/>
        <w:gridCol w:w="284"/>
        <w:gridCol w:w="283"/>
        <w:gridCol w:w="425"/>
        <w:gridCol w:w="142"/>
        <w:gridCol w:w="567"/>
        <w:gridCol w:w="425"/>
        <w:gridCol w:w="3544"/>
        <w:gridCol w:w="142"/>
        <w:gridCol w:w="1559"/>
        <w:gridCol w:w="1418"/>
      </w:tblGrid>
      <w:tr w:rsidR="00791B0C" w:rsidRPr="009C22E5" w:rsidTr="00791B0C">
        <w:trPr>
          <w:trHeight w:val="197"/>
        </w:trPr>
        <w:tc>
          <w:tcPr>
            <w:tcW w:w="13892"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91B0C" w:rsidRPr="009C22E5" w:rsidRDefault="00791B0C" w:rsidP="00791B0C">
            <w:pPr>
              <w:rPr>
                <w:rFonts w:cs="Arial"/>
                <w:b/>
                <w:bCs/>
              </w:rPr>
            </w:pPr>
            <w:r>
              <w:rPr>
                <w:rFonts w:cs="Arial"/>
                <w:b/>
                <w:bCs/>
              </w:rPr>
              <w:t>Corporate Plan – Scrutiny Committee 2 February 2016</w:t>
            </w:r>
          </w:p>
        </w:tc>
      </w:tr>
      <w:tr w:rsidR="00791B0C" w:rsidRPr="00154A07" w:rsidTr="00A334CA">
        <w:tc>
          <w:tcPr>
            <w:tcW w:w="3686" w:type="dxa"/>
            <w:gridSpan w:val="2"/>
            <w:shd w:val="clear" w:color="auto" w:fill="FFFFFF" w:themeFill="background1"/>
            <w:vAlign w:val="center"/>
          </w:tcPr>
          <w:p w:rsidR="00791B0C" w:rsidRPr="00154A07" w:rsidRDefault="00791B0C" w:rsidP="00416A0F">
            <w:pPr>
              <w:rPr>
                <w:rFonts w:cs="Arial"/>
                <w:b/>
              </w:rPr>
            </w:pPr>
            <w:r w:rsidRPr="00154A07">
              <w:rPr>
                <w:rFonts w:cs="Arial"/>
                <w:b/>
              </w:rPr>
              <w:t>Recommendation</w:t>
            </w:r>
          </w:p>
        </w:tc>
        <w:tc>
          <w:tcPr>
            <w:tcW w:w="1134" w:type="dxa"/>
            <w:gridSpan w:val="4"/>
            <w:shd w:val="clear" w:color="auto" w:fill="FFFFFF" w:themeFill="background1"/>
            <w:vAlign w:val="center"/>
          </w:tcPr>
          <w:p w:rsidR="00791B0C" w:rsidRPr="00154A07" w:rsidRDefault="00791B0C" w:rsidP="00416A0F">
            <w:pPr>
              <w:rPr>
                <w:rFonts w:cs="Arial"/>
                <w:b/>
              </w:rPr>
            </w:pPr>
            <w:r w:rsidRPr="00154A07">
              <w:rPr>
                <w:rFonts w:cs="Arial"/>
                <w:b/>
              </w:rPr>
              <w:t>Agreed Y/N</w:t>
            </w:r>
          </w:p>
        </w:tc>
        <w:tc>
          <w:tcPr>
            <w:tcW w:w="6095" w:type="dxa"/>
            <w:gridSpan w:val="9"/>
            <w:shd w:val="clear" w:color="auto" w:fill="FFFFFF" w:themeFill="background1"/>
            <w:vAlign w:val="center"/>
          </w:tcPr>
          <w:p w:rsidR="00791B0C" w:rsidRPr="00154A07" w:rsidRDefault="00791B0C" w:rsidP="00416A0F">
            <w:pPr>
              <w:rPr>
                <w:rFonts w:cs="Arial"/>
                <w:b/>
              </w:rPr>
            </w:pPr>
            <w:r w:rsidRPr="00154A07">
              <w:rPr>
                <w:rFonts w:cs="Arial"/>
                <w:b/>
              </w:rPr>
              <w:t>Executive response</w:t>
            </w:r>
          </w:p>
        </w:tc>
        <w:tc>
          <w:tcPr>
            <w:tcW w:w="1559" w:type="dxa"/>
            <w:shd w:val="clear" w:color="auto" w:fill="FFFFFF" w:themeFill="background1"/>
            <w:vAlign w:val="center"/>
          </w:tcPr>
          <w:p w:rsidR="00791B0C" w:rsidRPr="00154A07" w:rsidRDefault="00791B0C" w:rsidP="00416A0F">
            <w:pPr>
              <w:rPr>
                <w:rFonts w:cs="Arial"/>
                <w:b/>
              </w:rPr>
            </w:pPr>
            <w:r w:rsidRPr="00154A07">
              <w:rPr>
                <w:rFonts w:cs="Arial"/>
                <w:b/>
              </w:rPr>
              <w:t xml:space="preserve">Lead Member &amp; Officer </w:t>
            </w:r>
          </w:p>
        </w:tc>
        <w:tc>
          <w:tcPr>
            <w:tcW w:w="1418" w:type="dxa"/>
            <w:shd w:val="clear" w:color="auto" w:fill="FFFFFF" w:themeFill="background1"/>
            <w:vAlign w:val="center"/>
          </w:tcPr>
          <w:p w:rsidR="00791B0C" w:rsidRPr="00154A07" w:rsidRDefault="00791B0C" w:rsidP="00416A0F">
            <w:pPr>
              <w:rPr>
                <w:rFonts w:cs="Arial"/>
                <w:b/>
              </w:rPr>
            </w:pPr>
            <w:r w:rsidRPr="00154A07">
              <w:rPr>
                <w:rFonts w:cs="Arial"/>
                <w:b/>
              </w:rPr>
              <w:t>Implemented Y/N / due date</w:t>
            </w:r>
          </w:p>
        </w:tc>
      </w:tr>
      <w:tr w:rsidR="00A334CA" w:rsidTr="00A334CA">
        <w:tc>
          <w:tcPr>
            <w:tcW w:w="3686" w:type="dxa"/>
            <w:gridSpan w:val="2"/>
            <w:shd w:val="clear" w:color="auto" w:fill="auto"/>
          </w:tcPr>
          <w:p w:rsidR="00A334CA" w:rsidRDefault="00A334CA" w:rsidP="00416A0F">
            <w:pPr>
              <w:rPr>
                <w:rFonts w:cs="Arial"/>
              </w:rPr>
            </w:pPr>
            <w:r>
              <w:rPr>
                <w:rFonts w:cs="Arial"/>
              </w:rPr>
              <w:t xml:space="preserve">1. </w:t>
            </w:r>
            <w:r w:rsidRPr="00D323DA">
              <w:rPr>
                <w:rFonts w:cs="Arial"/>
              </w:rPr>
              <w:t>That the Corporate Plan is fact-checked in light of recent changes to local government finance and national policy before it is presented to Council.</w:t>
            </w:r>
          </w:p>
        </w:tc>
        <w:tc>
          <w:tcPr>
            <w:tcW w:w="1134" w:type="dxa"/>
            <w:gridSpan w:val="4"/>
            <w:shd w:val="clear" w:color="auto" w:fill="auto"/>
          </w:tcPr>
          <w:p w:rsidR="00A334CA" w:rsidRPr="00A334CA" w:rsidRDefault="00A334CA" w:rsidP="00416A0F">
            <w:pPr>
              <w:jc w:val="center"/>
              <w:rPr>
                <w:rFonts w:cs="Arial"/>
              </w:rPr>
            </w:pPr>
            <w:r w:rsidRPr="00A334CA">
              <w:rPr>
                <w:rFonts w:cs="Arial"/>
              </w:rPr>
              <w:t>Y</w:t>
            </w:r>
          </w:p>
        </w:tc>
        <w:tc>
          <w:tcPr>
            <w:tcW w:w="6095" w:type="dxa"/>
            <w:gridSpan w:val="9"/>
            <w:shd w:val="clear" w:color="auto" w:fill="auto"/>
          </w:tcPr>
          <w:p w:rsidR="00A334CA" w:rsidRPr="00AC577F" w:rsidRDefault="00A334CA" w:rsidP="00416A0F">
            <w:pPr>
              <w:rPr>
                <w:rFonts w:cs="Arial"/>
              </w:rPr>
            </w:pPr>
            <w:r>
              <w:rPr>
                <w:rFonts w:cs="Arial"/>
              </w:rPr>
              <w:t>The draft Corporate Plan will be updated to reflect latest draft budget and any policy announcements before it is presented to Council.</w:t>
            </w:r>
          </w:p>
        </w:tc>
        <w:tc>
          <w:tcPr>
            <w:tcW w:w="1559" w:type="dxa"/>
            <w:vMerge w:val="restart"/>
          </w:tcPr>
          <w:p w:rsidR="00A334CA" w:rsidRDefault="00A334CA" w:rsidP="00416A0F">
            <w:pPr>
              <w:rPr>
                <w:rFonts w:cs="Arial"/>
              </w:rPr>
            </w:pPr>
            <w:r>
              <w:rPr>
                <w:rFonts w:cs="Arial"/>
              </w:rPr>
              <w:t>Cllr Price &amp; Caroline Green</w:t>
            </w:r>
          </w:p>
        </w:tc>
        <w:tc>
          <w:tcPr>
            <w:tcW w:w="1418" w:type="dxa"/>
          </w:tcPr>
          <w:p w:rsidR="00A334CA" w:rsidRDefault="00A334CA" w:rsidP="00416A0F">
            <w:pPr>
              <w:rPr>
                <w:rFonts w:cs="Arial"/>
              </w:rPr>
            </w:pPr>
            <w:r>
              <w:rPr>
                <w:rFonts w:cs="Arial"/>
              </w:rPr>
              <w:t>Y</w:t>
            </w:r>
          </w:p>
        </w:tc>
      </w:tr>
      <w:tr w:rsidR="00A334CA" w:rsidRPr="009C22E5" w:rsidTr="00A334CA">
        <w:tc>
          <w:tcPr>
            <w:tcW w:w="3686" w:type="dxa"/>
            <w:gridSpan w:val="2"/>
            <w:shd w:val="clear" w:color="auto" w:fill="auto"/>
          </w:tcPr>
          <w:p w:rsidR="00A334CA" w:rsidRPr="00AC577F" w:rsidRDefault="00A334CA" w:rsidP="00416A0F">
            <w:pPr>
              <w:rPr>
                <w:rFonts w:cs="Arial"/>
              </w:rPr>
            </w:pPr>
            <w:r>
              <w:rPr>
                <w:rFonts w:cs="Arial"/>
              </w:rPr>
              <w:t>2.</w:t>
            </w:r>
            <w:r w:rsidRPr="00E125E8">
              <w:rPr>
                <w:rFonts w:cs="Arial"/>
              </w:rPr>
              <w:t xml:space="preserve"> That consideration is given to whether and how the number of responses received to the public consultation on the Budget and Corporate Plan could be maximised in future years.</w:t>
            </w:r>
          </w:p>
        </w:tc>
        <w:tc>
          <w:tcPr>
            <w:tcW w:w="1134" w:type="dxa"/>
            <w:gridSpan w:val="4"/>
            <w:shd w:val="clear" w:color="auto" w:fill="auto"/>
          </w:tcPr>
          <w:p w:rsidR="00A334CA" w:rsidRPr="00A334CA" w:rsidRDefault="00A334CA" w:rsidP="00416A0F">
            <w:pPr>
              <w:jc w:val="center"/>
              <w:rPr>
                <w:rFonts w:cs="Arial"/>
              </w:rPr>
            </w:pPr>
            <w:r w:rsidRPr="00A334CA">
              <w:rPr>
                <w:rFonts w:cs="Arial"/>
              </w:rPr>
              <w:t>Y</w:t>
            </w:r>
          </w:p>
        </w:tc>
        <w:tc>
          <w:tcPr>
            <w:tcW w:w="6095" w:type="dxa"/>
            <w:gridSpan w:val="9"/>
            <w:shd w:val="clear" w:color="auto" w:fill="auto"/>
          </w:tcPr>
          <w:p w:rsidR="00A334CA" w:rsidRDefault="00A334CA" w:rsidP="00416A0F">
            <w:pPr>
              <w:rPr>
                <w:rFonts w:cs="Arial"/>
              </w:rPr>
            </w:pPr>
            <w:r>
              <w:rPr>
                <w:rFonts w:cs="Arial"/>
              </w:rPr>
              <w:t>It is agreed that this should be considered.</w:t>
            </w:r>
          </w:p>
          <w:p w:rsidR="00A334CA" w:rsidRDefault="00A334CA" w:rsidP="00416A0F">
            <w:pPr>
              <w:rPr>
                <w:rFonts w:cs="Arial"/>
              </w:rPr>
            </w:pPr>
          </w:p>
          <w:p w:rsidR="00A334CA" w:rsidRDefault="00A334CA" w:rsidP="00416A0F">
            <w:pPr>
              <w:rPr>
                <w:rFonts w:cs="Arial"/>
              </w:rPr>
            </w:pPr>
            <w:r>
              <w:rPr>
                <w:rFonts w:cs="Arial"/>
              </w:rPr>
              <w:t>The c</w:t>
            </w:r>
            <w:r w:rsidRPr="00386E3B">
              <w:rPr>
                <w:rFonts w:cs="Arial"/>
              </w:rPr>
              <w:t xml:space="preserve">onsultation on the draft </w:t>
            </w:r>
            <w:r>
              <w:rPr>
                <w:rFonts w:cs="Arial"/>
              </w:rPr>
              <w:t xml:space="preserve">Budget and </w:t>
            </w:r>
            <w:r w:rsidRPr="00386E3B">
              <w:rPr>
                <w:rFonts w:cs="Arial"/>
              </w:rPr>
              <w:t>Corporate Plan 2016-20 opened on 18th December 2015 and closed on 24th January 2016. An invitation to take part in the consultation was sent to over 3,300 email addresses via the consultation portal and an invitation from the Assistant Chief Executive was sent to key stakeholders. An advert was placed in the Oxford Mail on 22nd December, 29th December and 5th January. Paper copies were available on request from the Consultation Officer in the Town Hall.</w:t>
            </w:r>
            <w:r>
              <w:rPr>
                <w:rFonts w:cs="Arial"/>
              </w:rPr>
              <w:t xml:space="preserve"> Responses were tracked on a weekly basis and a reminder email was sent on 15</w:t>
            </w:r>
            <w:r w:rsidRPr="005147C5">
              <w:rPr>
                <w:rFonts w:cs="Arial"/>
                <w:vertAlign w:val="superscript"/>
              </w:rPr>
              <w:t>th</w:t>
            </w:r>
            <w:r>
              <w:rPr>
                <w:rFonts w:cs="Arial"/>
              </w:rPr>
              <w:t xml:space="preserve"> January 2016. </w:t>
            </w:r>
          </w:p>
          <w:p w:rsidR="00A334CA" w:rsidRDefault="00A334CA" w:rsidP="00416A0F">
            <w:pPr>
              <w:rPr>
                <w:rFonts w:cs="Arial"/>
              </w:rPr>
            </w:pPr>
          </w:p>
          <w:p w:rsidR="00A334CA" w:rsidRDefault="00A334CA" w:rsidP="00416A0F">
            <w:pPr>
              <w:rPr>
                <w:rFonts w:cs="Arial"/>
              </w:rPr>
            </w:pPr>
            <w:r>
              <w:rPr>
                <w:rFonts w:cs="Arial"/>
              </w:rPr>
              <w:t>The number of responses to public consultation on the Corporate Plan and Budget was lower than average in recent years (average 68). There are a number of factors to consider:</w:t>
            </w:r>
          </w:p>
          <w:p w:rsidR="00A334CA" w:rsidRDefault="00A334CA" w:rsidP="00A334CA">
            <w:pPr>
              <w:pStyle w:val="ListParagraph"/>
              <w:numPr>
                <w:ilvl w:val="0"/>
                <w:numId w:val="41"/>
              </w:numPr>
            </w:pPr>
            <w:r>
              <w:t>The plan is developed with engagement of key partner organisations referenced in the plan so they may not feel the need to respond</w:t>
            </w:r>
          </w:p>
          <w:p w:rsidR="00A334CA" w:rsidRDefault="00A334CA" w:rsidP="00A334CA">
            <w:pPr>
              <w:pStyle w:val="ListParagraph"/>
              <w:numPr>
                <w:ilvl w:val="0"/>
                <w:numId w:val="41"/>
              </w:numPr>
            </w:pPr>
            <w:r>
              <w:t xml:space="preserve">Due to circumstances beyond our control, the </w:t>
            </w:r>
            <w:r>
              <w:lastRenderedPageBreak/>
              <w:t>consultation period is squeezed into a four week period that includes the Christmas and New Year holidays.</w:t>
            </w:r>
          </w:p>
          <w:p w:rsidR="00A334CA" w:rsidRDefault="00A334CA" w:rsidP="00A334CA">
            <w:pPr>
              <w:pStyle w:val="ListParagraph"/>
              <w:numPr>
                <w:ilvl w:val="0"/>
                <w:numId w:val="41"/>
              </w:numPr>
            </w:pPr>
            <w:r>
              <w:t>The Corporate Plan is the sum of many plans, strategies and policies that are developed on an on-going basis, and which the general public and key partners are consulted and invited to comment.</w:t>
            </w:r>
          </w:p>
          <w:p w:rsidR="00A334CA" w:rsidRPr="002539B1" w:rsidRDefault="00A334CA" w:rsidP="00A334CA">
            <w:pPr>
              <w:pStyle w:val="ListParagraph"/>
              <w:numPr>
                <w:ilvl w:val="0"/>
                <w:numId w:val="41"/>
              </w:numPr>
            </w:pPr>
            <w:r w:rsidRPr="002539B1">
              <w:t>Respondents may focus their response on the</w:t>
            </w:r>
            <w:r>
              <w:t xml:space="preserve"> draft</w:t>
            </w:r>
            <w:r w:rsidRPr="002539B1">
              <w:t xml:space="preserve"> Budget</w:t>
            </w:r>
          </w:p>
          <w:p w:rsidR="00A334CA" w:rsidRPr="00AC577F" w:rsidRDefault="00A334CA" w:rsidP="00416A0F">
            <w:pPr>
              <w:rPr>
                <w:rFonts w:cs="Arial"/>
              </w:rPr>
            </w:pPr>
          </w:p>
        </w:tc>
        <w:tc>
          <w:tcPr>
            <w:tcW w:w="1559" w:type="dxa"/>
            <w:vMerge/>
          </w:tcPr>
          <w:p w:rsidR="00A334CA" w:rsidRPr="009C22E5" w:rsidRDefault="00A334CA" w:rsidP="00416A0F">
            <w:pPr>
              <w:rPr>
                <w:rFonts w:cs="Arial"/>
              </w:rPr>
            </w:pPr>
          </w:p>
        </w:tc>
        <w:tc>
          <w:tcPr>
            <w:tcW w:w="1418" w:type="dxa"/>
          </w:tcPr>
          <w:p w:rsidR="00A334CA" w:rsidRPr="009C22E5" w:rsidRDefault="00A334CA" w:rsidP="00416A0F">
            <w:pPr>
              <w:rPr>
                <w:rFonts w:cs="Arial"/>
              </w:rPr>
            </w:pPr>
            <w:r>
              <w:rPr>
                <w:rFonts w:cs="Arial"/>
              </w:rPr>
              <w:t>Dec 2016</w:t>
            </w:r>
          </w:p>
        </w:tc>
      </w:tr>
      <w:tr w:rsidR="00A334CA" w:rsidRPr="009C22E5" w:rsidTr="00A334CA">
        <w:tc>
          <w:tcPr>
            <w:tcW w:w="3686" w:type="dxa"/>
            <w:gridSpan w:val="2"/>
            <w:shd w:val="clear" w:color="auto" w:fill="auto"/>
          </w:tcPr>
          <w:p w:rsidR="00A334CA" w:rsidRDefault="00A334CA" w:rsidP="00416A0F">
            <w:pPr>
              <w:rPr>
                <w:rFonts w:cs="Arial"/>
              </w:rPr>
            </w:pPr>
            <w:r>
              <w:rPr>
                <w:rFonts w:cs="Arial"/>
              </w:rPr>
              <w:lastRenderedPageBreak/>
              <w:t>3.</w:t>
            </w:r>
            <w:r w:rsidRPr="00E125E8">
              <w:rPr>
                <w:rFonts w:cs="Arial"/>
              </w:rPr>
              <w:t xml:space="preserve"> That consideration is given to the following suggestions on the corporate success measures:</w:t>
            </w:r>
          </w:p>
          <w:p w:rsidR="00A334CA" w:rsidRPr="00E125E8" w:rsidRDefault="00A334CA" w:rsidP="00416A0F">
            <w:pPr>
              <w:rPr>
                <w:rFonts w:cs="Arial"/>
              </w:rPr>
            </w:pPr>
          </w:p>
          <w:p w:rsidR="00A334CA" w:rsidRPr="002539B1" w:rsidRDefault="00A334CA" w:rsidP="00A334CA">
            <w:pPr>
              <w:pStyle w:val="ListParagraph"/>
              <w:numPr>
                <w:ilvl w:val="0"/>
                <w:numId w:val="42"/>
              </w:numPr>
            </w:pPr>
            <w:r w:rsidRPr="002539B1">
              <w:t>That there should be a corporate success measure on tenant satisfaction given that the Council has special responsibilities as a landlord;</w:t>
            </w:r>
          </w:p>
          <w:p w:rsidR="00A334CA" w:rsidRPr="002539B1" w:rsidRDefault="00A334CA" w:rsidP="00416A0F">
            <w:pPr>
              <w:pStyle w:val="ListParagraph"/>
            </w:pPr>
          </w:p>
          <w:p w:rsidR="00A334CA" w:rsidRPr="00407F60" w:rsidRDefault="00A334CA" w:rsidP="00416A0F">
            <w:pPr>
              <w:ind w:left="360"/>
              <w:rPr>
                <w:rFonts w:cs="Arial"/>
              </w:rPr>
            </w:pPr>
            <w:r w:rsidRPr="00E125E8">
              <w:rPr>
                <w:rFonts w:cs="Arial"/>
              </w:rPr>
              <w:t>b)</w:t>
            </w:r>
            <w:r>
              <w:rPr>
                <w:rFonts w:cs="Arial"/>
              </w:rPr>
              <w:t xml:space="preserve"> </w:t>
            </w:r>
            <w:r w:rsidRPr="00E125E8">
              <w:rPr>
                <w:rFonts w:cs="Arial"/>
              </w:rPr>
              <w:t>That the corporate success measure for new homes granted permission in the city should better reflect the actual delivery of new homes.</w:t>
            </w:r>
          </w:p>
        </w:tc>
        <w:tc>
          <w:tcPr>
            <w:tcW w:w="1134" w:type="dxa"/>
            <w:gridSpan w:val="4"/>
            <w:shd w:val="clear" w:color="auto" w:fill="auto"/>
          </w:tcPr>
          <w:p w:rsidR="00A334CA" w:rsidRPr="00A334CA" w:rsidRDefault="00A334CA" w:rsidP="00416A0F">
            <w:pPr>
              <w:jc w:val="center"/>
              <w:rPr>
                <w:rFonts w:cs="Arial"/>
              </w:rPr>
            </w:pPr>
            <w:r w:rsidRPr="00A334CA">
              <w:rPr>
                <w:rFonts w:cs="Arial"/>
              </w:rPr>
              <w:t>N</w:t>
            </w:r>
          </w:p>
        </w:tc>
        <w:tc>
          <w:tcPr>
            <w:tcW w:w="6095" w:type="dxa"/>
            <w:gridSpan w:val="9"/>
            <w:shd w:val="clear" w:color="auto" w:fill="auto"/>
          </w:tcPr>
          <w:p w:rsidR="00A334CA" w:rsidRPr="00CA79AD" w:rsidRDefault="00A334CA" w:rsidP="00416A0F">
            <w:pPr>
              <w:rPr>
                <w:rFonts w:cs="Arial"/>
              </w:rPr>
            </w:pPr>
            <w:r>
              <w:rPr>
                <w:rFonts w:cs="Arial"/>
              </w:rPr>
              <w:t>3</w:t>
            </w:r>
            <w:r w:rsidRPr="00CA79AD">
              <w:rPr>
                <w:rFonts w:cs="Arial"/>
              </w:rPr>
              <w:t xml:space="preserve">a)  There are three success measures for each priority theme in the Corporate Plan which are designed to focus on the biggest challenges under each theme going forward. On this basis, the three proposed for the Housing Needs theme relate to housing delivery, limiting </w:t>
            </w:r>
            <w:r>
              <w:rPr>
                <w:rFonts w:cs="Arial"/>
              </w:rPr>
              <w:t xml:space="preserve">the </w:t>
            </w:r>
            <w:r w:rsidRPr="00CA79AD">
              <w:rPr>
                <w:rFonts w:cs="Arial"/>
              </w:rPr>
              <w:t>use of temporary accommodation as a measure of preventing homelessness</w:t>
            </w:r>
            <w:r>
              <w:rPr>
                <w:rFonts w:cs="Arial"/>
              </w:rPr>
              <w:t>;</w:t>
            </w:r>
            <w:r w:rsidRPr="00CA79AD">
              <w:rPr>
                <w:rFonts w:cs="Arial"/>
              </w:rPr>
              <w:t xml:space="preserve"> and increasing the number of HMOs licensed in the city.  In addition to the measures in the Corporate Plan we will continue to monitor progress on key indicators and report regularly to the Housing Panel. This will include satisfaction tenant satisfaction in recognition of the Councils’ responsibilities as a landlord.</w:t>
            </w:r>
          </w:p>
          <w:p w:rsidR="00A334CA" w:rsidRPr="00CA79AD" w:rsidRDefault="00A334CA" w:rsidP="00416A0F">
            <w:pPr>
              <w:ind w:left="1080"/>
              <w:rPr>
                <w:rFonts w:cs="Arial"/>
              </w:rPr>
            </w:pPr>
          </w:p>
          <w:p w:rsidR="00A334CA" w:rsidRPr="00407F60" w:rsidRDefault="00A334CA" w:rsidP="00416A0F">
            <w:pPr>
              <w:rPr>
                <w:rFonts w:cs="Arial"/>
              </w:rPr>
            </w:pPr>
            <w:r>
              <w:rPr>
                <w:rFonts w:cs="Arial"/>
              </w:rPr>
              <w:t>3</w:t>
            </w:r>
            <w:r w:rsidRPr="00CA79AD">
              <w:rPr>
                <w:rFonts w:cs="Arial"/>
              </w:rPr>
              <w:t xml:space="preserve">b). The corporate success measure using planning permissions reflects performance that is under the Council’s control and that we can directly influence and measure. This is the measure by which we are judged by Government. Housing completions are also important to monitor, and the City Council does this annually in the Annual Monitoring Report. It is recognised that it is important that officers work </w:t>
            </w:r>
            <w:r w:rsidRPr="00CA79AD">
              <w:rPr>
                <w:rFonts w:cs="Arial"/>
              </w:rPr>
              <w:lastRenderedPageBreak/>
              <w:t xml:space="preserve">proactively with developers to resolve blocks or delays on schemes.  However there are many factors, including market forces which influence the timeline of when housing developments are built out, that are beyond the Council’s control, including market circumstances. These wider factors make it more difficult to assess the effectiveness of the Council’s performance through assessment of the annual number of housing completions. There is also a significant </w:t>
            </w:r>
            <w:proofErr w:type="spellStart"/>
            <w:r w:rsidRPr="00CA79AD">
              <w:rPr>
                <w:rFonts w:cs="Arial"/>
              </w:rPr>
              <w:t>timelag</w:t>
            </w:r>
            <w:proofErr w:type="spellEnd"/>
            <w:r w:rsidRPr="00CA79AD">
              <w:rPr>
                <w:rFonts w:cs="Arial"/>
              </w:rPr>
              <w:t xml:space="preserve"> in the collection of data on completions which makes monitoring of progress in a timely manner problematic.  </w:t>
            </w:r>
          </w:p>
        </w:tc>
        <w:tc>
          <w:tcPr>
            <w:tcW w:w="1559" w:type="dxa"/>
            <w:vMerge/>
          </w:tcPr>
          <w:p w:rsidR="00A334CA" w:rsidRPr="002A1B14" w:rsidRDefault="00A334CA" w:rsidP="00416A0F">
            <w:pPr>
              <w:rPr>
                <w:rFonts w:cs="Arial"/>
                <w:b/>
              </w:rPr>
            </w:pPr>
          </w:p>
        </w:tc>
        <w:tc>
          <w:tcPr>
            <w:tcW w:w="1418" w:type="dxa"/>
          </w:tcPr>
          <w:p w:rsidR="00A334CA" w:rsidRPr="009C22E5" w:rsidRDefault="00A334CA" w:rsidP="00416A0F">
            <w:pPr>
              <w:rPr>
                <w:rFonts w:cs="Arial"/>
              </w:rPr>
            </w:pPr>
            <w:r>
              <w:rPr>
                <w:rFonts w:cs="Arial"/>
              </w:rPr>
              <w:t>N/A</w:t>
            </w:r>
          </w:p>
        </w:tc>
      </w:tr>
      <w:tr w:rsidR="00791B0C" w:rsidRPr="009C22E5" w:rsidTr="00791B0C">
        <w:trPr>
          <w:trHeight w:val="197"/>
        </w:trPr>
        <w:tc>
          <w:tcPr>
            <w:tcW w:w="13892"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91B0C" w:rsidRPr="009C22E5" w:rsidRDefault="00791B0C" w:rsidP="00791B0C">
            <w:pPr>
              <w:rPr>
                <w:rFonts w:cs="Arial"/>
                <w:b/>
                <w:bCs/>
              </w:rPr>
            </w:pPr>
            <w:r w:rsidRPr="00791B0C">
              <w:rPr>
                <w:rFonts w:cs="Arial"/>
                <w:b/>
                <w:bCs/>
              </w:rPr>
              <w:lastRenderedPageBreak/>
              <w:t>Private Sector Housing Policy 2016-2019</w:t>
            </w:r>
            <w:r>
              <w:rPr>
                <w:rFonts w:cs="Arial"/>
                <w:b/>
                <w:bCs/>
              </w:rPr>
              <w:t xml:space="preserve"> – Housing Panel 1 February 2016</w:t>
            </w:r>
          </w:p>
        </w:tc>
      </w:tr>
      <w:tr w:rsidR="00791B0C" w:rsidRPr="00154A07" w:rsidTr="00791B0C">
        <w:tc>
          <w:tcPr>
            <w:tcW w:w="5103" w:type="dxa"/>
            <w:gridSpan w:val="7"/>
            <w:shd w:val="clear" w:color="auto" w:fill="FFFFFF" w:themeFill="background1"/>
            <w:vAlign w:val="center"/>
          </w:tcPr>
          <w:p w:rsidR="00791B0C" w:rsidRPr="00154A07" w:rsidRDefault="00791B0C" w:rsidP="00416A0F">
            <w:pPr>
              <w:rPr>
                <w:rFonts w:cs="Arial"/>
                <w:b/>
              </w:rPr>
            </w:pPr>
            <w:r w:rsidRPr="00154A07">
              <w:rPr>
                <w:rFonts w:cs="Arial"/>
                <w:b/>
              </w:rPr>
              <w:t>Recommendation</w:t>
            </w:r>
          </w:p>
        </w:tc>
        <w:tc>
          <w:tcPr>
            <w:tcW w:w="1134" w:type="dxa"/>
            <w:gridSpan w:val="4"/>
            <w:shd w:val="clear" w:color="auto" w:fill="FFFFFF" w:themeFill="background1"/>
            <w:vAlign w:val="center"/>
          </w:tcPr>
          <w:p w:rsidR="00791B0C" w:rsidRPr="00154A07" w:rsidRDefault="00791B0C" w:rsidP="00416A0F">
            <w:pPr>
              <w:rPr>
                <w:rFonts w:cs="Arial"/>
                <w:b/>
              </w:rPr>
            </w:pPr>
            <w:r w:rsidRPr="00154A07">
              <w:rPr>
                <w:rFonts w:cs="Arial"/>
                <w:b/>
              </w:rPr>
              <w:t>Agreed Y/N</w:t>
            </w:r>
          </w:p>
        </w:tc>
        <w:tc>
          <w:tcPr>
            <w:tcW w:w="4678" w:type="dxa"/>
            <w:gridSpan w:val="4"/>
            <w:shd w:val="clear" w:color="auto" w:fill="FFFFFF" w:themeFill="background1"/>
            <w:vAlign w:val="center"/>
          </w:tcPr>
          <w:p w:rsidR="00791B0C" w:rsidRPr="00154A07" w:rsidRDefault="00791B0C" w:rsidP="00416A0F">
            <w:pPr>
              <w:rPr>
                <w:rFonts w:cs="Arial"/>
                <w:b/>
              </w:rPr>
            </w:pPr>
            <w:r w:rsidRPr="00154A07">
              <w:rPr>
                <w:rFonts w:cs="Arial"/>
                <w:b/>
              </w:rPr>
              <w:t>Executive response</w:t>
            </w:r>
          </w:p>
        </w:tc>
        <w:tc>
          <w:tcPr>
            <w:tcW w:w="1559" w:type="dxa"/>
            <w:shd w:val="clear" w:color="auto" w:fill="FFFFFF" w:themeFill="background1"/>
            <w:vAlign w:val="center"/>
          </w:tcPr>
          <w:p w:rsidR="00791B0C" w:rsidRPr="00154A07" w:rsidRDefault="00791B0C" w:rsidP="00416A0F">
            <w:pPr>
              <w:rPr>
                <w:rFonts w:cs="Arial"/>
                <w:b/>
              </w:rPr>
            </w:pPr>
            <w:r w:rsidRPr="00154A07">
              <w:rPr>
                <w:rFonts w:cs="Arial"/>
                <w:b/>
              </w:rPr>
              <w:t xml:space="preserve">Lead Member &amp; Officer </w:t>
            </w:r>
          </w:p>
        </w:tc>
        <w:tc>
          <w:tcPr>
            <w:tcW w:w="1418" w:type="dxa"/>
            <w:shd w:val="clear" w:color="auto" w:fill="FFFFFF" w:themeFill="background1"/>
            <w:vAlign w:val="center"/>
          </w:tcPr>
          <w:p w:rsidR="00791B0C" w:rsidRPr="00154A07" w:rsidRDefault="00791B0C" w:rsidP="00416A0F">
            <w:pPr>
              <w:rPr>
                <w:rFonts w:cs="Arial"/>
                <w:b/>
              </w:rPr>
            </w:pPr>
            <w:r w:rsidRPr="00154A07">
              <w:rPr>
                <w:rFonts w:cs="Arial"/>
                <w:b/>
              </w:rPr>
              <w:t>Implemented Y/N / due date</w:t>
            </w:r>
          </w:p>
        </w:tc>
      </w:tr>
      <w:tr w:rsidR="00791B0C" w:rsidTr="00791B0C">
        <w:tc>
          <w:tcPr>
            <w:tcW w:w="5103" w:type="dxa"/>
            <w:gridSpan w:val="7"/>
            <w:shd w:val="clear" w:color="auto" w:fill="auto"/>
          </w:tcPr>
          <w:p w:rsidR="00791B0C" w:rsidRPr="00435084" w:rsidRDefault="00791B0C" w:rsidP="002C2973">
            <w:r w:rsidRPr="00435084">
              <w:t>1. That direct invitations to comment should be sent to Parish Councils and any lease-holders forums, in addition to the stakeholders listed in the report.</w:t>
            </w:r>
          </w:p>
        </w:tc>
        <w:tc>
          <w:tcPr>
            <w:tcW w:w="1134" w:type="dxa"/>
            <w:gridSpan w:val="4"/>
            <w:shd w:val="clear" w:color="auto" w:fill="auto"/>
          </w:tcPr>
          <w:p w:rsidR="00791B0C" w:rsidRPr="00435084" w:rsidRDefault="00791B0C" w:rsidP="002C2973">
            <w:r w:rsidRPr="00435084">
              <w:t>yes</w:t>
            </w:r>
          </w:p>
        </w:tc>
        <w:tc>
          <w:tcPr>
            <w:tcW w:w="4678" w:type="dxa"/>
            <w:gridSpan w:val="4"/>
            <w:shd w:val="clear" w:color="auto" w:fill="auto"/>
          </w:tcPr>
          <w:p w:rsidR="00791B0C" w:rsidRPr="00435084" w:rsidRDefault="00791B0C" w:rsidP="002C2973"/>
        </w:tc>
        <w:tc>
          <w:tcPr>
            <w:tcW w:w="1559" w:type="dxa"/>
            <w:vMerge w:val="restart"/>
          </w:tcPr>
          <w:p w:rsidR="00791B0C" w:rsidRDefault="00791B0C" w:rsidP="00416A0F">
            <w:pPr>
              <w:rPr>
                <w:rFonts w:cs="Arial"/>
              </w:rPr>
            </w:pPr>
            <w:r>
              <w:rPr>
                <w:rFonts w:cs="Arial"/>
              </w:rPr>
              <w:t>Cllr Price &amp; Ian Wright</w:t>
            </w:r>
          </w:p>
        </w:tc>
        <w:tc>
          <w:tcPr>
            <w:tcW w:w="1418" w:type="dxa"/>
          </w:tcPr>
          <w:p w:rsidR="00791B0C" w:rsidRDefault="00791B0C" w:rsidP="00416A0F">
            <w:pPr>
              <w:rPr>
                <w:rFonts w:cs="Arial"/>
              </w:rPr>
            </w:pPr>
            <w:r>
              <w:rPr>
                <w:rFonts w:cs="Arial"/>
              </w:rPr>
              <w:t>June 2016</w:t>
            </w:r>
          </w:p>
        </w:tc>
      </w:tr>
      <w:tr w:rsidR="00791B0C" w:rsidRPr="009C22E5" w:rsidTr="00791B0C">
        <w:tc>
          <w:tcPr>
            <w:tcW w:w="5103" w:type="dxa"/>
            <w:gridSpan w:val="7"/>
            <w:shd w:val="clear" w:color="auto" w:fill="auto"/>
          </w:tcPr>
          <w:p w:rsidR="00791B0C" w:rsidRPr="00435084" w:rsidRDefault="00791B0C" w:rsidP="002C2973">
            <w:r w:rsidRPr="00435084">
              <w:t>2. That the consultation should be promoted through channels such as the Your Oxford newsletter and that further consideration should be given to how the Council can best engage with private rented sector tenants, perhaps through an ‘appreciative enquiry’.</w:t>
            </w:r>
          </w:p>
        </w:tc>
        <w:tc>
          <w:tcPr>
            <w:tcW w:w="1134" w:type="dxa"/>
            <w:gridSpan w:val="4"/>
            <w:shd w:val="clear" w:color="auto" w:fill="auto"/>
          </w:tcPr>
          <w:p w:rsidR="00791B0C" w:rsidRPr="00435084" w:rsidRDefault="00791B0C" w:rsidP="002C2973">
            <w:r w:rsidRPr="00435084">
              <w:t>yes</w:t>
            </w:r>
          </w:p>
        </w:tc>
        <w:tc>
          <w:tcPr>
            <w:tcW w:w="4678" w:type="dxa"/>
            <w:gridSpan w:val="4"/>
            <w:shd w:val="clear" w:color="auto" w:fill="auto"/>
          </w:tcPr>
          <w:p w:rsidR="00791B0C" w:rsidRPr="00435084" w:rsidRDefault="00791B0C" w:rsidP="002C2973"/>
        </w:tc>
        <w:tc>
          <w:tcPr>
            <w:tcW w:w="1559" w:type="dxa"/>
            <w:vMerge/>
          </w:tcPr>
          <w:p w:rsidR="00791B0C" w:rsidRPr="009C22E5" w:rsidRDefault="00791B0C" w:rsidP="00416A0F">
            <w:pPr>
              <w:rPr>
                <w:rFonts w:cs="Arial"/>
              </w:rPr>
            </w:pPr>
          </w:p>
        </w:tc>
        <w:tc>
          <w:tcPr>
            <w:tcW w:w="1418" w:type="dxa"/>
          </w:tcPr>
          <w:p w:rsidR="00791B0C" w:rsidRPr="009C22E5" w:rsidRDefault="00791B0C" w:rsidP="00416A0F">
            <w:pPr>
              <w:rPr>
                <w:rFonts w:cs="Arial"/>
              </w:rPr>
            </w:pPr>
            <w:r>
              <w:rPr>
                <w:rFonts w:cs="Arial"/>
              </w:rPr>
              <w:t>June 2016</w:t>
            </w:r>
          </w:p>
        </w:tc>
      </w:tr>
      <w:tr w:rsidR="00791B0C" w:rsidRPr="009C22E5" w:rsidTr="00791B0C">
        <w:tc>
          <w:tcPr>
            <w:tcW w:w="5103" w:type="dxa"/>
            <w:gridSpan w:val="7"/>
            <w:shd w:val="clear" w:color="auto" w:fill="auto"/>
          </w:tcPr>
          <w:p w:rsidR="00791B0C" w:rsidRPr="00435084" w:rsidRDefault="00791B0C" w:rsidP="002C2973">
            <w:r w:rsidRPr="00435084">
              <w:t>3. That the Council should make fuller use of the powers available to it to enforce the removal of waste and bulky items left outside HMO properties.</w:t>
            </w:r>
          </w:p>
        </w:tc>
        <w:tc>
          <w:tcPr>
            <w:tcW w:w="1134" w:type="dxa"/>
            <w:gridSpan w:val="4"/>
            <w:shd w:val="clear" w:color="auto" w:fill="auto"/>
          </w:tcPr>
          <w:p w:rsidR="00791B0C" w:rsidRPr="00435084" w:rsidRDefault="00791B0C" w:rsidP="002C2973">
            <w:r w:rsidRPr="00435084">
              <w:t>yes</w:t>
            </w:r>
          </w:p>
        </w:tc>
        <w:tc>
          <w:tcPr>
            <w:tcW w:w="4678" w:type="dxa"/>
            <w:gridSpan w:val="4"/>
            <w:shd w:val="clear" w:color="auto" w:fill="auto"/>
          </w:tcPr>
          <w:p w:rsidR="00791B0C" w:rsidRPr="00435084" w:rsidRDefault="00791B0C" w:rsidP="002C2973">
            <w:r w:rsidRPr="00435084">
              <w:t>I would want to clarify with Direct Services whether they are finding difficulties in using their full powers and whether we have the resources to do this.</w:t>
            </w:r>
          </w:p>
        </w:tc>
        <w:tc>
          <w:tcPr>
            <w:tcW w:w="1559" w:type="dxa"/>
            <w:vMerge/>
          </w:tcPr>
          <w:p w:rsidR="00791B0C" w:rsidRPr="002A1B14" w:rsidRDefault="00791B0C" w:rsidP="00416A0F">
            <w:pPr>
              <w:rPr>
                <w:rFonts w:cs="Arial"/>
                <w:b/>
              </w:rPr>
            </w:pPr>
          </w:p>
        </w:tc>
        <w:tc>
          <w:tcPr>
            <w:tcW w:w="1418" w:type="dxa"/>
          </w:tcPr>
          <w:p w:rsidR="00791B0C" w:rsidRPr="009C22E5" w:rsidRDefault="00791B0C" w:rsidP="00416A0F">
            <w:pPr>
              <w:rPr>
                <w:rFonts w:cs="Arial"/>
              </w:rPr>
            </w:pPr>
            <w:r>
              <w:rPr>
                <w:rFonts w:cs="Arial"/>
              </w:rPr>
              <w:t>June 2016</w:t>
            </w:r>
          </w:p>
        </w:tc>
      </w:tr>
      <w:tr w:rsidR="00791B0C" w:rsidRPr="009C22E5" w:rsidTr="00791B0C">
        <w:tc>
          <w:tcPr>
            <w:tcW w:w="5103" w:type="dxa"/>
            <w:gridSpan w:val="7"/>
            <w:tcBorders>
              <w:top w:val="single" w:sz="4" w:space="0" w:color="auto"/>
              <w:left w:val="single" w:sz="4" w:space="0" w:color="auto"/>
              <w:bottom w:val="single" w:sz="4" w:space="0" w:color="auto"/>
              <w:right w:val="single" w:sz="4" w:space="0" w:color="auto"/>
            </w:tcBorders>
            <w:shd w:val="clear" w:color="auto" w:fill="auto"/>
          </w:tcPr>
          <w:p w:rsidR="00791B0C" w:rsidRPr="00435084" w:rsidRDefault="00791B0C" w:rsidP="002C2973">
            <w:r w:rsidRPr="00435084">
              <w:t xml:space="preserve">4. That Council Officers are asked to provide an update on the feasibility of increasing the number of free bulky items collections available to tenants living in HMOs.  This </w:t>
            </w:r>
            <w:r w:rsidRPr="00435084">
              <w:lastRenderedPageBreak/>
              <w:t>should include the feasibility of offering free bulky items collections on a ‘per household’ rather than ‘per property’ basis.</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791B0C" w:rsidRPr="00435084" w:rsidRDefault="00791B0C" w:rsidP="002C2973">
            <w:r w:rsidRPr="00435084">
              <w:lastRenderedPageBreak/>
              <w:t>yes</w:t>
            </w:r>
          </w:p>
        </w:tc>
        <w:tc>
          <w:tcPr>
            <w:tcW w:w="4678" w:type="dxa"/>
            <w:gridSpan w:val="4"/>
            <w:tcBorders>
              <w:top w:val="single" w:sz="4" w:space="0" w:color="auto"/>
              <w:left w:val="single" w:sz="4" w:space="0" w:color="auto"/>
              <w:bottom w:val="single" w:sz="4" w:space="0" w:color="auto"/>
            </w:tcBorders>
            <w:shd w:val="clear" w:color="auto" w:fill="auto"/>
          </w:tcPr>
          <w:p w:rsidR="00791B0C" w:rsidRPr="00435084" w:rsidRDefault="00791B0C" w:rsidP="002C2973"/>
        </w:tc>
        <w:tc>
          <w:tcPr>
            <w:tcW w:w="1559" w:type="dxa"/>
            <w:vMerge/>
          </w:tcPr>
          <w:p w:rsidR="00791B0C" w:rsidRPr="002A1B14" w:rsidRDefault="00791B0C" w:rsidP="00416A0F">
            <w:pPr>
              <w:rPr>
                <w:rFonts w:cs="Arial"/>
                <w:b/>
              </w:rPr>
            </w:pPr>
          </w:p>
        </w:tc>
        <w:tc>
          <w:tcPr>
            <w:tcW w:w="1418" w:type="dxa"/>
            <w:tcBorders>
              <w:top w:val="single" w:sz="4" w:space="0" w:color="auto"/>
              <w:bottom w:val="single" w:sz="4" w:space="0" w:color="auto"/>
              <w:right w:val="single" w:sz="4" w:space="0" w:color="auto"/>
            </w:tcBorders>
          </w:tcPr>
          <w:p w:rsidR="00791B0C" w:rsidRPr="009C22E5" w:rsidRDefault="00791B0C" w:rsidP="00416A0F">
            <w:pPr>
              <w:rPr>
                <w:rFonts w:cs="Arial"/>
              </w:rPr>
            </w:pPr>
            <w:r>
              <w:rPr>
                <w:rFonts w:cs="Arial"/>
              </w:rPr>
              <w:t>June 2016</w:t>
            </w:r>
          </w:p>
        </w:tc>
      </w:tr>
      <w:tr w:rsidR="00791B0C" w:rsidRPr="009C22E5" w:rsidTr="00791B0C">
        <w:tc>
          <w:tcPr>
            <w:tcW w:w="5103" w:type="dxa"/>
            <w:gridSpan w:val="7"/>
            <w:tcBorders>
              <w:top w:val="single" w:sz="4" w:space="0" w:color="auto"/>
              <w:left w:val="single" w:sz="4" w:space="0" w:color="auto"/>
              <w:bottom w:val="single" w:sz="4" w:space="0" w:color="auto"/>
              <w:right w:val="single" w:sz="4" w:space="0" w:color="auto"/>
            </w:tcBorders>
            <w:shd w:val="clear" w:color="auto" w:fill="auto"/>
          </w:tcPr>
          <w:p w:rsidR="00791B0C" w:rsidRPr="00435084" w:rsidRDefault="00791B0C" w:rsidP="002C2973">
            <w:r w:rsidRPr="00435084">
              <w:lastRenderedPageBreak/>
              <w:t>5. That the facility to report suspected unlicensed HMOs should be promoted more widely, including through Tenants in Touch.</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791B0C" w:rsidRPr="00435084" w:rsidRDefault="00791B0C" w:rsidP="002C2973">
            <w:r w:rsidRPr="00435084">
              <w:t>yes</w:t>
            </w:r>
          </w:p>
        </w:tc>
        <w:tc>
          <w:tcPr>
            <w:tcW w:w="4678" w:type="dxa"/>
            <w:gridSpan w:val="4"/>
            <w:tcBorders>
              <w:top w:val="single" w:sz="4" w:space="0" w:color="auto"/>
              <w:left w:val="single" w:sz="4" w:space="0" w:color="auto"/>
              <w:bottom w:val="single" w:sz="4" w:space="0" w:color="auto"/>
            </w:tcBorders>
            <w:shd w:val="clear" w:color="auto" w:fill="auto"/>
          </w:tcPr>
          <w:p w:rsidR="00791B0C" w:rsidRDefault="00791B0C" w:rsidP="002C2973"/>
        </w:tc>
        <w:tc>
          <w:tcPr>
            <w:tcW w:w="1559" w:type="dxa"/>
            <w:vMerge/>
          </w:tcPr>
          <w:p w:rsidR="00791B0C" w:rsidRPr="00EE3E1C" w:rsidRDefault="00791B0C" w:rsidP="00416A0F">
            <w:pPr>
              <w:rPr>
                <w:rFonts w:cs="Arial"/>
                <w:b/>
              </w:rPr>
            </w:pPr>
          </w:p>
        </w:tc>
        <w:tc>
          <w:tcPr>
            <w:tcW w:w="1418" w:type="dxa"/>
            <w:tcBorders>
              <w:top w:val="single" w:sz="4" w:space="0" w:color="auto"/>
              <w:bottom w:val="single" w:sz="4" w:space="0" w:color="auto"/>
              <w:right w:val="single" w:sz="4" w:space="0" w:color="auto"/>
            </w:tcBorders>
          </w:tcPr>
          <w:p w:rsidR="00791B0C" w:rsidRPr="009C22E5" w:rsidRDefault="00791B0C" w:rsidP="00416A0F">
            <w:pPr>
              <w:rPr>
                <w:rFonts w:cs="Arial"/>
              </w:rPr>
            </w:pPr>
            <w:r>
              <w:rPr>
                <w:rFonts w:cs="Arial"/>
              </w:rPr>
              <w:t>June 2016</w:t>
            </w:r>
          </w:p>
        </w:tc>
      </w:tr>
      <w:tr w:rsidR="009C22E5" w:rsidRPr="00154A07" w:rsidTr="009C22E5">
        <w:trPr>
          <w:trHeight w:val="197"/>
        </w:trPr>
        <w:tc>
          <w:tcPr>
            <w:tcW w:w="13892"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22E5" w:rsidRPr="009C22E5" w:rsidRDefault="00791B0C" w:rsidP="00416A0F">
            <w:pPr>
              <w:rPr>
                <w:rFonts w:cs="Arial"/>
                <w:b/>
                <w:bCs/>
              </w:rPr>
            </w:pPr>
            <w:r>
              <w:rPr>
                <w:rFonts w:cs="Arial"/>
                <w:b/>
                <w:bCs/>
              </w:rPr>
              <w:t>Budget Review 2016/17 – Finance Panel 28 January 2016</w:t>
            </w:r>
          </w:p>
        </w:tc>
      </w:tr>
      <w:tr w:rsidR="009C22E5" w:rsidRPr="00154A07" w:rsidTr="00791B0C">
        <w:tc>
          <w:tcPr>
            <w:tcW w:w="4253" w:type="dxa"/>
            <w:gridSpan w:val="4"/>
            <w:shd w:val="clear" w:color="auto" w:fill="FFFFFF" w:themeFill="background1"/>
            <w:vAlign w:val="center"/>
          </w:tcPr>
          <w:p w:rsidR="009C22E5" w:rsidRPr="00154A07" w:rsidRDefault="009C22E5" w:rsidP="00416A0F">
            <w:pPr>
              <w:rPr>
                <w:rFonts w:cs="Arial"/>
                <w:b/>
              </w:rPr>
            </w:pPr>
            <w:r w:rsidRPr="00154A07">
              <w:rPr>
                <w:rFonts w:cs="Arial"/>
                <w:b/>
              </w:rPr>
              <w:t>Recommendation</w:t>
            </w:r>
          </w:p>
        </w:tc>
        <w:tc>
          <w:tcPr>
            <w:tcW w:w="1134" w:type="dxa"/>
            <w:gridSpan w:val="4"/>
            <w:shd w:val="clear" w:color="auto" w:fill="FFFFFF" w:themeFill="background1"/>
            <w:vAlign w:val="center"/>
          </w:tcPr>
          <w:p w:rsidR="009C22E5" w:rsidRPr="00154A07" w:rsidRDefault="009C22E5" w:rsidP="00416A0F">
            <w:pPr>
              <w:rPr>
                <w:rFonts w:cs="Arial"/>
                <w:b/>
              </w:rPr>
            </w:pPr>
            <w:r w:rsidRPr="00154A07">
              <w:rPr>
                <w:rFonts w:cs="Arial"/>
                <w:b/>
              </w:rPr>
              <w:t>Agreed Y/N</w:t>
            </w:r>
          </w:p>
        </w:tc>
        <w:tc>
          <w:tcPr>
            <w:tcW w:w="5528" w:type="dxa"/>
            <w:gridSpan w:val="7"/>
            <w:shd w:val="clear" w:color="auto" w:fill="FFFFFF" w:themeFill="background1"/>
            <w:vAlign w:val="center"/>
          </w:tcPr>
          <w:p w:rsidR="009C22E5" w:rsidRPr="00154A07" w:rsidRDefault="009C22E5" w:rsidP="00416A0F">
            <w:pPr>
              <w:rPr>
                <w:rFonts w:cs="Arial"/>
                <w:b/>
              </w:rPr>
            </w:pPr>
            <w:r w:rsidRPr="00154A07">
              <w:rPr>
                <w:rFonts w:cs="Arial"/>
                <w:b/>
              </w:rPr>
              <w:t>Executive response</w:t>
            </w:r>
          </w:p>
        </w:tc>
        <w:tc>
          <w:tcPr>
            <w:tcW w:w="1559" w:type="dxa"/>
            <w:shd w:val="clear" w:color="auto" w:fill="FFFFFF" w:themeFill="background1"/>
            <w:vAlign w:val="center"/>
          </w:tcPr>
          <w:p w:rsidR="009C22E5" w:rsidRPr="00154A07" w:rsidRDefault="009C22E5" w:rsidP="00416A0F">
            <w:pPr>
              <w:rPr>
                <w:rFonts w:cs="Arial"/>
                <w:b/>
              </w:rPr>
            </w:pPr>
            <w:r w:rsidRPr="00154A07">
              <w:rPr>
                <w:rFonts w:cs="Arial"/>
                <w:b/>
              </w:rPr>
              <w:t xml:space="preserve">Lead Member &amp; Officer </w:t>
            </w:r>
          </w:p>
        </w:tc>
        <w:tc>
          <w:tcPr>
            <w:tcW w:w="1418" w:type="dxa"/>
            <w:shd w:val="clear" w:color="auto" w:fill="FFFFFF" w:themeFill="background1"/>
            <w:vAlign w:val="center"/>
          </w:tcPr>
          <w:p w:rsidR="009C22E5" w:rsidRPr="00154A07" w:rsidRDefault="009C22E5" w:rsidP="00416A0F">
            <w:pPr>
              <w:rPr>
                <w:rFonts w:cs="Arial"/>
                <w:b/>
              </w:rPr>
            </w:pPr>
            <w:r w:rsidRPr="00154A07">
              <w:rPr>
                <w:rFonts w:cs="Arial"/>
                <w:b/>
              </w:rPr>
              <w:t>Implemented Y/N / due date</w:t>
            </w:r>
          </w:p>
        </w:tc>
      </w:tr>
      <w:tr w:rsidR="009C22E5" w:rsidRPr="00AC577F" w:rsidTr="00791B0C">
        <w:tc>
          <w:tcPr>
            <w:tcW w:w="4253" w:type="dxa"/>
            <w:gridSpan w:val="4"/>
            <w:shd w:val="clear" w:color="auto" w:fill="auto"/>
          </w:tcPr>
          <w:p w:rsidR="009C22E5" w:rsidRPr="00CD5F42" w:rsidRDefault="009C22E5" w:rsidP="00416A0F">
            <w:pPr>
              <w:rPr>
                <w:rFonts w:cs="Arial"/>
              </w:rPr>
            </w:pPr>
            <w:r>
              <w:rPr>
                <w:rFonts w:cs="Arial"/>
              </w:rPr>
              <w:t xml:space="preserve">1. </w:t>
            </w:r>
            <w:r w:rsidRPr="00CD5F42">
              <w:rPr>
                <w:rFonts w:cs="Arial"/>
              </w:rPr>
              <w:t>That to improve the transparency and accessibility of the Council’s budget proposals and in line with the increased reliance on external revenues and more uncertain Government support, the following should be provided in future years:</w:t>
            </w:r>
          </w:p>
          <w:p w:rsidR="009C22E5" w:rsidRPr="00CD5F42" w:rsidRDefault="009C22E5" w:rsidP="00416A0F">
            <w:pPr>
              <w:rPr>
                <w:rFonts w:cs="Arial"/>
              </w:rPr>
            </w:pPr>
            <w:r>
              <w:rPr>
                <w:rFonts w:cs="Arial"/>
              </w:rPr>
              <w:t xml:space="preserve">a) </w:t>
            </w:r>
            <w:r w:rsidRPr="00CD5F42">
              <w:rPr>
                <w:rFonts w:cs="Arial"/>
              </w:rPr>
              <w:t>Details of gross revenue income and other grants received by service and how these relate to the gross expenditures on these services (Budget Report);</w:t>
            </w:r>
          </w:p>
          <w:p w:rsidR="009C22E5" w:rsidRPr="00CD5F42" w:rsidRDefault="009C22E5" w:rsidP="00416A0F">
            <w:pPr>
              <w:rPr>
                <w:rFonts w:cs="Arial"/>
              </w:rPr>
            </w:pPr>
            <w:r>
              <w:rPr>
                <w:rFonts w:cs="Arial"/>
              </w:rPr>
              <w:t xml:space="preserve">b) </w:t>
            </w:r>
            <w:r w:rsidRPr="00CD5F42">
              <w:rPr>
                <w:rFonts w:cs="Arial"/>
              </w:rPr>
              <w:t>Staffing establishment (FTE) figures by service or team so that staffing changes can be seen in proportion to the size of the services or teams that are impacted (App</w:t>
            </w:r>
            <w:r>
              <w:rPr>
                <w:rFonts w:cs="Arial"/>
              </w:rPr>
              <w:t>endix</w:t>
            </w:r>
            <w:r w:rsidRPr="00CD5F42">
              <w:rPr>
                <w:rFonts w:cs="Arial"/>
              </w:rPr>
              <w:t xml:space="preserve"> 3).</w:t>
            </w:r>
          </w:p>
          <w:p w:rsidR="009C22E5" w:rsidRPr="00CD5F42" w:rsidRDefault="009C22E5" w:rsidP="00416A0F">
            <w:pPr>
              <w:rPr>
                <w:rFonts w:cs="Arial"/>
              </w:rPr>
            </w:pPr>
            <w:r>
              <w:rPr>
                <w:rFonts w:cs="Arial"/>
              </w:rPr>
              <w:t xml:space="preserve">c) </w:t>
            </w:r>
            <w:r w:rsidRPr="00CD5F42">
              <w:rPr>
                <w:rFonts w:cs="Arial"/>
              </w:rPr>
              <w:t>Net budget allocations in the Detailed General Fund Budget Proposals, so that adjustments can be seen in proportion to the size of the budgets impacted (App</w:t>
            </w:r>
            <w:r>
              <w:rPr>
                <w:rFonts w:cs="Arial"/>
              </w:rPr>
              <w:t>endix</w:t>
            </w:r>
            <w:r w:rsidRPr="00CD5F42">
              <w:rPr>
                <w:rFonts w:cs="Arial"/>
              </w:rPr>
              <w:t xml:space="preserve"> 3);</w:t>
            </w:r>
          </w:p>
          <w:p w:rsidR="009C22E5" w:rsidRPr="00CD5F42" w:rsidRDefault="009C22E5" w:rsidP="00416A0F">
            <w:pPr>
              <w:rPr>
                <w:rFonts w:cs="Arial"/>
              </w:rPr>
            </w:pPr>
            <w:r>
              <w:rPr>
                <w:rFonts w:cs="Arial"/>
              </w:rPr>
              <w:t xml:space="preserve">d) </w:t>
            </w:r>
            <w:r w:rsidRPr="00CD5F42">
              <w:rPr>
                <w:rFonts w:cs="Arial"/>
              </w:rPr>
              <w:t xml:space="preserve">Clearer explanation where </w:t>
            </w:r>
            <w:r w:rsidRPr="00CD5F42">
              <w:rPr>
                <w:rFonts w:cs="Arial"/>
              </w:rPr>
              <w:lastRenderedPageBreak/>
              <w:t>adjustments in new investments / bids budget lines are reversals of one-off investments that have already been made (Ap</w:t>
            </w:r>
            <w:r>
              <w:rPr>
                <w:rFonts w:cs="Arial"/>
              </w:rPr>
              <w:t>pendix</w:t>
            </w:r>
            <w:r w:rsidRPr="00CD5F42">
              <w:rPr>
                <w:rFonts w:cs="Arial"/>
              </w:rPr>
              <w:t xml:space="preserve"> 3); </w:t>
            </w:r>
          </w:p>
          <w:p w:rsidR="009C22E5" w:rsidRPr="00CD5F42" w:rsidRDefault="009C22E5" w:rsidP="00416A0F">
            <w:pPr>
              <w:rPr>
                <w:rFonts w:cs="Arial"/>
              </w:rPr>
            </w:pPr>
            <w:r>
              <w:rPr>
                <w:rFonts w:cs="Arial"/>
              </w:rPr>
              <w:t xml:space="preserve">e) </w:t>
            </w:r>
            <w:r w:rsidRPr="00CD5F42">
              <w:rPr>
                <w:rFonts w:cs="Arial"/>
              </w:rPr>
              <w:t>Details of how the Capital Programme as a whole and major individual capital schemes are expected to be funded (App</w:t>
            </w:r>
            <w:r>
              <w:rPr>
                <w:rFonts w:cs="Arial"/>
              </w:rPr>
              <w:t>endix</w:t>
            </w:r>
            <w:r w:rsidRPr="00CD5F42">
              <w:rPr>
                <w:rFonts w:cs="Arial"/>
              </w:rPr>
              <w:t xml:space="preserve"> 6);</w:t>
            </w:r>
          </w:p>
          <w:p w:rsidR="009C22E5" w:rsidRPr="00CD5F42" w:rsidRDefault="009C22E5" w:rsidP="00416A0F">
            <w:pPr>
              <w:rPr>
                <w:rFonts w:cs="Arial"/>
              </w:rPr>
            </w:pPr>
            <w:r>
              <w:rPr>
                <w:rFonts w:cs="Arial"/>
              </w:rPr>
              <w:t xml:space="preserve">f) </w:t>
            </w:r>
            <w:r w:rsidRPr="00CD5F42">
              <w:rPr>
                <w:rFonts w:cs="Arial"/>
              </w:rPr>
              <w:t>The gross cost of capital schemes, indicating external funding, in addition to the City Council’s contributions (App</w:t>
            </w:r>
            <w:r>
              <w:rPr>
                <w:rFonts w:cs="Arial"/>
              </w:rPr>
              <w:t>endix</w:t>
            </w:r>
            <w:r w:rsidRPr="00CD5F42">
              <w:rPr>
                <w:rFonts w:cs="Arial"/>
              </w:rPr>
              <w:t xml:space="preserve"> 6);</w:t>
            </w:r>
          </w:p>
          <w:p w:rsidR="009C22E5" w:rsidRPr="00CD5F42" w:rsidRDefault="009C22E5" w:rsidP="00416A0F">
            <w:pPr>
              <w:rPr>
                <w:rFonts w:cs="Arial"/>
              </w:rPr>
            </w:pPr>
            <w:r>
              <w:rPr>
                <w:rFonts w:cs="Arial"/>
              </w:rPr>
              <w:t xml:space="preserve">g) </w:t>
            </w:r>
            <w:r w:rsidRPr="00CD5F42">
              <w:rPr>
                <w:rFonts w:cs="Arial"/>
              </w:rPr>
              <w:t>Indicative fees and charges rates where Service Managers have the discretion to set these (for example the typical hourly rate charged for a senior lawyer) (App</w:t>
            </w:r>
            <w:r>
              <w:rPr>
                <w:rFonts w:cs="Arial"/>
              </w:rPr>
              <w:t xml:space="preserve">endix </w:t>
            </w:r>
            <w:r w:rsidRPr="00CD5F42">
              <w:rPr>
                <w:rFonts w:cs="Arial"/>
              </w:rPr>
              <w:t>8);</w:t>
            </w:r>
          </w:p>
          <w:p w:rsidR="009C22E5" w:rsidRPr="00AC577F" w:rsidRDefault="009C22E5" w:rsidP="00416A0F">
            <w:pPr>
              <w:rPr>
                <w:rFonts w:cs="Arial"/>
              </w:rPr>
            </w:pPr>
            <w:r>
              <w:rPr>
                <w:rFonts w:cs="Arial"/>
              </w:rPr>
              <w:t xml:space="preserve">h) </w:t>
            </w:r>
            <w:r w:rsidRPr="00CD5F42">
              <w:rPr>
                <w:rFonts w:cs="Arial"/>
              </w:rPr>
              <w:t>More specific descriptions of what new fees and charges relate to in practice (App</w:t>
            </w:r>
            <w:r>
              <w:rPr>
                <w:rFonts w:cs="Arial"/>
              </w:rPr>
              <w:t>endix</w:t>
            </w:r>
            <w:r w:rsidRPr="00CD5F42">
              <w:rPr>
                <w:rFonts w:cs="Arial"/>
              </w:rPr>
              <w:t xml:space="preserve"> 8).</w:t>
            </w:r>
          </w:p>
        </w:tc>
        <w:tc>
          <w:tcPr>
            <w:tcW w:w="1134" w:type="dxa"/>
            <w:gridSpan w:val="4"/>
            <w:shd w:val="clear" w:color="auto" w:fill="auto"/>
          </w:tcPr>
          <w:p w:rsidR="009C22E5" w:rsidRPr="00AC577F" w:rsidRDefault="009C22E5" w:rsidP="00416A0F">
            <w:pPr>
              <w:rPr>
                <w:rFonts w:cs="Arial"/>
              </w:rPr>
            </w:pPr>
            <w:r>
              <w:rPr>
                <w:rFonts w:cs="Arial"/>
              </w:rPr>
              <w:lastRenderedPageBreak/>
              <w:t>Y</w:t>
            </w:r>
          </w:p>
        </w:tc>
        <w:tc>
          <w:tcPr>
            <w:tcW w:w="5528" w:type="dxa"/>
            <w:gridSpan w:val="7"/>
            <w:shd w:val="clear" w:color="auto" w:fill="auto"/>
          </w:tcPr>
          <w:p w:rsidR="009C22E5" w:rsidRDefault="009C22E5" w:rsidP="00416A0F">
            <w:pPr>
              <w:rPr>
                <w:rFonts w:cs="Arial"/>
              </w:rPr>
            </w:pPr>
            <w:r>
              <w:rPr>
                <w:rFonts w:cs="Arial"/>
              </w:rPr>
              <w:t>The Council’s Budget Book, which is available on the website, provides the information requested at b) and c). It is therefore suggested that the budget papers, which are already extensive are read in conjunction with the Budget Book going forward.</w:t>
            </w:r>
          </w:p>
          <w:p w:rsidR="009C22E5" w:rsidRDefault="009C22E5" w:rsidP="00416A0F">
            <w:pPr>
              <w:rPr>
                <w:rFonts w:cs="Arial"/>
              </w:rPr>
            </w:pPr>
          </w:p>
          <w:p w:rsidR="009C22E5" w:rsidRDefault="009C22E5" w:rsidP="00416A0F">
            <w:pPr>
              <w:rPr>
                <w:rFonts w:cs="Arial"/>
              </w:rPr>
            </w:pPr>
            <w:r>
              <w:rPr>
                <w:rFonts w:cs="Arial"/>
              </w:rPr>
              <w:t>a) Grant information will be provided for those services which it is significant as part of the budget process for 17/18.</w:t>
            </w:r>
          </w:p>
          <w:p w:rsidR="009C22E5" w:rsidRDefault="009C22E5" w:rsidP="00416A0F">
            <w:pPr>
              <w:rPr>
                <w:rFonts w:cs="Arial"/>
              </w:rPr>
            </w:pPr>
          </w:p>
          <w:p w:rsidR="009C22E5" w:rsidRDefault="009C22E5" w:rsidP="00416A0F">
            <w:pPr>
              <w:rPr>
                <w:rFonts w:cs="Arial"/>
              </w:rPr>
            </w:pPr>
            <w:r>
              <w:rPr>
                <w:rFonts w:cs="Arial"/>
              </w:rPr>
              <w:t>d) The narrative in Appendix three has been amended for the final budget to ensure that all lines that are reversing previous one off bids has been identified, and this will also be incorporated into future years papers.</w:t>
            </w:r>
          </w:p>
          <w:p w:rsidR="009C22E5" w:rsidRDefault="009C22E5" w:rsidP="00416A0F">
            <w:pPr>
              <w:rPr>
                <w:rFonts w:cs="Arial"/>
              </w:rPr>
            </w:pPr>
          </w:p>
          <w:p w:rsidR="009C22E5" w:rsidRDefault="009C22E5" w:rsidP="00416A0F">
            <w:pPr>
              <w:rPr>
                <w:rFonts w:cs="Arial"/>
              </w:rPr>
            </w:pPr>
            <w:r>
              <w:rPr>
                <w:rFonts w:cs="Arial"/>
              </w:rPr>
              <w:t>e) Capital funding is now included within the covering report</w:t>
            </w:r>
          </w:p>
          <w:p w:rsidR="009C22E5" w:rsidRDefault="009C22E5" w:rsidP="00416A0F">
            <w:pPr>
              <w:rPr>
                <w:rFonts w:cs="Arial"/>
              </w:rPr>
            </w:pPr>
          </w:p>
          <w:p w:rsidR="009C22E5" w:rsidRDefault="009C22E5" w:rsidP="00416A0F">
            <w:pPr>
              <w:rPr>
                <w:rFonts w:cs="Arial"/>
              </w:rPr>
            </w:pPr>
            <w:r>
              <w:rPr>
                <w:rFonts w:cs="Arial"/>
              </w:rPr>
              <w:t>f) Schemes within the Capital Programme have been grossed up and any capital receipts or other funding are listed separately within the funding statement</w:t>
            </w:r>
          </w:p>
          <w:p w:rsidR="009C22E5" w:rsidRDefault="009C22E5" w:rsidP="00416A0F">
            <w:pPr>
              <w:rPr>
                <w:rFonts w:cs="Arial"/>
              </w:rPr>
            </w:pPr>
          </w:p>
          <w:p w:rsidR="009C22E5" w:rsidRDefault="009C22E5" w:rsidP="00416A0F">
            <w:pPr>
              <w:rPr>
                <w:rFonts w:cs="Arial"/>
              </w:rPr>
            </w:pPr>
            <w:r>
              <w:rPr>
                <w:rFonts w:cs="Arial"/>
              </w:rPr>
              <w:t>g) In consultation with Heads of Service this will be considered for future year fees and charges documentation</w:t>
            </w:r>
          </w:p>
          <w:p w:rsidR="009C22E5" w:rsidRDefault="009C22E5" w:rsidP="00416A0F">
            <w:pPr>
              <w:rPr>
                <w:rFonts w:cs="Arial"/>
              </w:rPr>
            </w:pPr>
          </w:p>
          <w:p w:rsidR="009C22E5" w:rsidRPr="00AC577F" w:rsidRDefault="009C22E5" w:rsidP="00416A0F">
            <w:pPr>
              <w:rPr>
                <w:rFonts w:cs="Arial"/>
              </w:rPr>
            </w:pPr>
            <w:r>
              <w:rPr>
                <w:rFonts w:cs="Arial"/>
              </w:rPr>
              <w:t xml:space="preserve">h)description of the fees and charges  are reviewed on an annual basis as part of the budget process </w:t>
            </w:r>
          </w:p>
        </w:tc>
        <w:tc>
          <w:tcPr>
            <w:tcW w:w="1559" w:type="dxa"/>
            <w:vMerge w:val="restart"/>
          </w:tcPr>
          <w:p w:rsidR="009C22E5" w:rsidRDefault="009C22E5" w:rsidP="00416A0F">
            <w:pPr>
              <w:rPr>
                <w:rFonts w:cs="Arial"/>
              </w:rPr>
            </w:pPr>
            <w:r>
              <w:rPr>
                <w:rFonts w:cs="Arial"/>
              </w:rPr>
              <w:lastRenderedPageBreak/>
              <w:t>Cllr Turner &amp; Nigel Kennedy</w:t>
            </w:r>
          </w:p>
        </w:tc>
        <w:tc>
          <w:tcPr>
            <w:tcW w:w="1418" w:type="dxa"/>
          </w:tcPr>
          <w:p w:rsidR="009C22E5" w:rsidRDefault="009C22E5" w:rsidP="00416A0F">
            <w:pPr>
              <w:rPr>
                <w:rFonts w:cs="Arial"/>
              </w:rPr>
            </w:pPr>
            <w:r>
              <w:rPr>
                <w:rFonts w:cs="Arial"/>
              </w:rPr>
              <w:t>Dec 2016</w:t>
            </w:r>
          </w:p>
        </w:tc>
      </w:tr>
      <w:tr w:rsidR="009C22E5" w:rsidRPr="00AC577F" w:rsidTr="00791B0C">
        <w:tc>
          <w:tcPr>
            <w:tcW w:w="4253" w:type="dxa"/>
            <w:gridSpan w:val="4"/>
            <w:shd w:val="clear" w:color="auto" w:fill="auto"/>
          </w:tcPr>
          <w:p w:rsidR="009C22E5" w:rsidRPr="00AC577F" w:rsidRDefault="009C22E5" w:rsidP="00416A0F">
            <w:pPr>
              <w:rPr>
                <w:rFonts w:cs="Arial"/>
              </w:rPr>
            </w:pPr>
            <w:r>
              <w:rPr>
                <w:rFonts w:cs="Arial"/>
              </w:rPr>
              <w:lastRenderedPageBreak/>
              <w:t>2.</w:t>
            </w:r>
            <w:r w:rsidRPr="00CD5F42">
              <w:rPr>
                <w:rFonts w:cs="Arial"/>
              </w:rPr>
              <w:t xml:space="preserve"> That the Council should look to opt in to receiving a four-year Revenue Support Grant settlement from Government in order to obtain additional (but not absolute) funding certainty and stability in the coming years as this grant funding r</w:t>
            </w:r>
            <w:r>
              <w:rPr>
                <w:rFonts w:cs="Arial"/>
              </w:rPr>
              <w:t>educes to zero by 2019-</w:t>
            </w:r>
            <w:r w:rsidRPr="00CD5F42">
              <w:rPr>
                <w:rFonts w:cs="Arial"/>
              </w:rPr>
              <w:t xml:space="preserve">20.  </w:t>
            </w:r>
          </w:p>
        </w:tc>
        <w:tc>
          <w:tcPr>
            <w:tcW w:w="1134" w:type="dxa"/>
            <w:gridSpan w:val="4"/>
            <w:shd w:val="clear" w:color="auto" w:fill="auto"/>
          </w:tcPr>
          <w:p w:rsidR="009C22E5" w:rsidRPr="00AC577F" w:rsidRDefault="009C22E5" w:rsidP="00416A0F">
            <w:pPr>
              <w:rPr>
                <w:rFonts w:cs="Arial"/>
              </w:rPr>
            </w:pPr>
            <w:r>
              <w:rPr>
                <w:rFonts w:cs="Arial"/>
              </w:rPr>
              <w:t>Y</w:t>
            </w:r>
          </w:p>
        </w:tc>
        <w:tc>
          <w:tcPr>
            <w:tcW w:w="5528" w:type="dxa"/>
            <w:gridSpan w:val="7"/>
            <w:shd w:val="clear" w:color="auto" w:fill="auto"/>
          </w:tcPr>
          <w:p w:rsidR="009C22E5" w:rsidRPr="009C22E5" w:rsidRDefault="009C22E5" w:rsidP="00416A0F">
            <w:pPr>
              <w:rPr>
                <w:rFonts w:cs="Arial"/>
              </w:rPr>
            </w:pPr>
            <w:r w:rsidRPr="009C22E5">
              <w:rPr>
                <w:rFonts w:cs="Arial"/>
              </w:rPr>
              <w:t xml:space="preserve">Agreed Within the Final Budget Report to City Executive Board .there is a recommendation for the Council to opt into the four year settlement, to give the Council more certainty over its income.  Further details are awaited on information required for the efficiency plan required by the Government and when the Council will need to submit. </w:t>
            </w:r>
          </w:p>
        </w:tc>
        <w:tc>
          <w:tcPr>
            <w:tcW w:w="1559" w:type="dxa"/>
            <w:vMerge/>
          </w:tcPr>
          <w:p w:rsidR="009C22E5" w:rsidRPr="009C22E5" w:rsidRDefault="009C22E5" w:rsidP="00416A0F">
            <w:pPr>
              <w:rPr>
                <w:rFonts w:cs="Arial"/>
              </w:rPr>
            </w:pPr>
          </w:p>
        </w:tc>
        <w:tc>
          <w:tcPr>
            <w:tcW w:w="1418" w:type="dxa"/>
          </w:tcPr>
          <w:p w:rsidR="009C22E5" w:rsidRPr="009C22E5" w:rsidRDefault="009C22E5" w:rsidP="00416A0F">
            <w:pPr>
              <w:rPr>
                <w:rFonts w:cs="Arial"/>
              </w:rPr>
            </w:pPr>
            <w:r w:rsidRPr="009C22E5">
              <w:rPr>
                <w:rFonts w:cs="Arial"/>
              </w:rPr>
              <w:t>Y</w:t>
            </w:r>
          </w:p>
        </w:tc>
      </w:tr>
      <w:tr w:rsidR="009C22E5" w:rsidRPr="00AC577F" w:rsidTr="00791B0C">
        <w:tc>
          <w:tcPr>
            <w:tcW w:w="4253" w:type="dxa"/>
            <w:gridSpan w:val="4"/>
            <w:shd w:val="clear" w:color="auto" w:fill="auto"/>
          </w:tcPr>
          <w:p w:rsidR="009C22E5" w:rsidRPr="00AC577F" w:rsidRDefault="009C22E5" w:rsidP="00416A0F">
            <w:pPr>
              <w:rPr>
                <w:rFonts w:cs="Arial"/>
              </w:rPr>
            </w:pPr>
            <w:r>
              <w:rPr>
                <w:rFonts w:cs="Arial"/>
              </w:rPr>
              <w:t>3.</w:t>
            </w:r>
            <w:r w:rsidRPr="00CD5F42">
              <w:rPr>
                <w:rFonts w:cs="Arial"/>
              </w:rPr>
              <w:t xml:space="preserve"> That Council Tax increases should be modelled at 1.75%, rather than 1.5%, in years two, three and four of the Medium Term Financial Plan and that if the Government’s referendum threshold is set above 1.75% in those </w:t>
            </w:r>
            <w:r w:rsidRPr="00CD5F42">
              <w:rPr>
                <w:rFonts w:cs="Arial"/>
              </w:rPr>
              <w:lastRenderedPageBreak/>
              <w:t>years, the Council should plan to increase Council Tax by the maximum amount permitted.</w:t>
            </w:r>
          </w:p>
        </w:tc>
        <w:tc>
          <w:tcPr>
            <w:tcW w:w="1134" w:type="dxa"/>
            <w:gridSpan w:val="4"/>
            <w:shd w:val="clear" w:color="auto" w:fill="auto"/>
          </w:tcPr>
          <w:p w:rsidR="009C22E5" w:rsidRPr="00AC577F" w:rsidRDefault="009C22E5" w:rsidP="00416A0F">
            <w:pPr>
              <w:rPr>
                <w:rFonts w:cs="Arial"/>
              </w:rPr>
            </w:pPr>
            <w:r>
              <w:rPr>
                <w:rFonts w:cs="Arial"/>
              </w:rPr>
              <w:lastRenderedPageBreak/>
              <w:t>Y</w:t>
            </w:r>
          </w:p>
        </w:tc>
        <w:tc>
          <w:tcPr>
            <w:tcW w:w="5528" w:type="dxa"/>
            <w:gridSpan w:val="7"/>
            <w:shd w:val="clear" w:color="auto" w:fill="auto"/>
          </w:tcPr>
          <w:p w:rsidR="009C22E5" w:rsidRPr="005E2218" w:rsidRDefault="009C22E5" w:rsidP="00416A0F">
            <w:pPr>
              <w:rPr>
                <w:rFonts w:cs="Arial"/>
              </w:rPr>
            </w:pPr>
            <w:r w:rsidRPr="002A1B14">
              <w:rPr>
                <w:rFonts w:cs="Arial"/>
                <w:b/>
              </w:rPr>
              <w:t>Agreed</w:t>
            </w:r>
            <w:r>
              <w:rPr>
                <w:rFonts w:cs="Arial"/>
                <w:b/>
              </w:rPr>
              <w:t xml:space="preserve">. </w:t>
            </w:r>
            <w:r>
              <w:rPr>
                <w:rFonts w:cs="Arial"/>
              </w:rPr>
              <w:t xml:space="preserve">In the updated Consultation Budget the Council have updated its forecast council tax rises from 1.5% to 1.75% in line with the Governments assumptions on average council tax rises. Should the referendum level in future years be maintained at 2% then the Council will </w:t>
            </w:r>
            <w:r>
              <w:rPr>
                <w:rFonts w:cs="Arial"/>
              </w:rPr>
              <w:lastRenderedPageBreak/>
              <w:t>review its position.</w:t>
            </w:r>
          </w:p>
        </w:tc>
        <w:tc>
          <w:tcPr>
            <w:tcW w:w="1559" w:type="dxa"/>
            <w:vMerge/>
          </w:tcPr>
          <w:p w:rsidR="009C22E5" w:rsidRPr="002A1B14" w:rsidRDefault="009C22E5" w:rsidP="00416A0F">
            <w:pPr>
              <w:rPr>
                <w:rFonts w:cs="Arial"/>
                <w:b/>
              </w:rPr>
            </w:pPr>
          </w:p>
        </w:tc>
        <w:tc>
          <w:tcPr>
            <w:tcW w:w="1418" w:type="dxa"/>
          </w:tcPr>
          <w:p w:rsidR="009C22E5" w:rsidRPr="009C22E5" w:rsidRDefault="009C22E5" w:rsidP="00416A0F">
            <w:pPr>
              <w:rPr>
                <w:rFonts w:cs="Arial"/>
              </w:rPr>
            </w:pPr>
            <w:r w:rsidRPr="009C22E5">
              <w:rPr>
                <w:rFonts w:cs="Arial"/>
              </w:rPr>
              <w:t>Y</w:t>
            </w:r>
          </w:p>
        </w:tc>
      </w:tr>
      <w:tr w:rsidR="009C22E5" w:rsidRPr="00AC577F" w:rsidTr="00791B0C">
        <w:tc>
          <w:tcPr>
            <w:tcW w:w="4253" w:type="dxa"/>
            <w:gridSpan w:val="4"/>
            <w:tcBorders>
              <w:top w:val="single" w:sz="4" w:space="0" w:color="auto"/>
              <w:left w:val="single" w:sz="4" w:space="0" w:color="auto"/>
              <w:bottom w:val="single" w:sz="4" w:space="0" w:color="auto"/>
              <w:right w:val="single" w:sz="4" w:space="0" w:color="auto"/>
            </w:tcBorders>
            <w:shd w:val="clear" w:color="auto" w:fill="auto"/>
          </w:tcPr>
          <w:p w:rsidR="009C22E5" w:rsidRPr="00AC577F" w:rsidRDefault="009C22E5" w:rsidP="00416A0F">
            <w:pPr>
              <w:rPr>
                <w:rFonts w:cs="Arial"/>
              </w:rPr>
            </w:pPr>
            <w:r>
              <w:rPr>
                <w:rFonts w:cs="Arial"/>
              </w:rPr>
              <w:lastRenderedPageBreak/>
              <w:t>4.</w:t>
            </w:r>
            <w:r w:rsidRPr="00CD5F42">
              <w:rPr>
                <w:rFonts w:cs="Arial"/>
              </w:rPr>
              <w:t xml:space="preserve"> That annual assessments should continue to be made of the potential benefits and risks to the Council of entering into a Business Rates Distribution Agreement with other Oxfordshire Councils.  </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9C22E5" w:rsidRPr="00AC577F" w:rsidRDefault="009C22E5" w:rsidP="00416A0F">
            <w:pPr>
              <w:rPr>
                <w:rFonts w:cs="Arial"/>
              </w:rPr>
            </w:pPr>
            <w:r>
              <w:rPr>
                <w:rFonts w:cs="Arial"/>
              </w:rPr>
              <w:t>Y</w:t>
            </w:r>
          </w:p>
        </w:tc>
        <w:tc>
          <w:tcPr>
            <w:tcW w:w="5528" w:type="dxa"/>
            <w:gridSpan w:val="7"/>
            <w:tcBorders>
              <w:top w:val="single" w:sz="4" w:space="0" w:color="auto"/>
              <w:left w:val="single" w:sz="4" w:space="0" w:color="auto"/>
              <w:bottom w:val="single" w:sz="4" w:space="0" w:color="auto"/>
            </w:tcBorders>
            <w:shd w:val="clear" w:color="auto" w:fill="auto"/>
          </w:tcPr>
          <w:p w:rsidR="009C22E5" w:rsidRPr="00AC577F" w:rsidRDefault="009C22E5" w:rsidP="00416A0F">
            <w:pPr>
              <w:rPr>
                <w:rFonts w:cs="Arial"/>
              </w:rPr>
            </w:pPr>
            <w:r w:rsidRPr="002A1B14">
              <w:rPr>
                <w:rFonts w:cs="Arial"/>
                <w:b/>
              </w:rPr>
              <w:t>Agreed</w:t>
            </w:r>
            <w:r>
              <w:rPr>
                <w:rFonts w:cs="Arial"/>
              </w:rPr>
              <w:t xml:space="preserve"> </w:t>
            </w:r>
          </w:p>
        </w:tc>
        <w:tc>
          <w:tcPr>
            <w:tcW w:w="1559" w:type="dxa"/>
            <w:vMerge/>
          </w:tcPr>
          <w:p w:rsidR="009C22E5" w:rsidRPr="002A1B14" w:rsidRDefault="009C22E5" w:rsidP="00416A0F">
            <w:pPr>
              <w:rPr>
                <w:rFonts w:cs="Arial"/>
                <w:b/>
              </w:rPr>
            </w:pPr>
          </w:p>
        </w:tc>
        <w:tc>
          <w:tcPr>
            <w:tcW w:w="1418" w:type="dxa"/>
            <w:tcBorders>
              <w:top w:val="single" w:sz="4" w:space="0" w:color="auto"/>
              <w:bottom w:val="single" w:sz="4" w:space="0" w:color="auto"/>
              <w:right w:val="single" w:sz="4" w:space="0" w:color="auto"/>
            </w:tcBorders>
          </w:tcPr>
          <w:p w:rsidR="009C22E5" w:rsidRPr="009C22E5" w:rsidRDefault="009C22E5" w:rsidP="00416A0F">
            <w:pPr>
              <w:rPr>
                <w:rFonts w:cs="Arial"/>
              </w:rPr>
            </w:pPr>
            <w:r>
              <w:rPr>
                <w:rFonts w:cs="Arial"/>
              </w:rPr>
              <w:t>Y</w:t>
            </w:r>
          </w:p>
        </w:tc>
      </w:tr>
      <w:tr w:rsidR="009C22E5" w:rsidRPr="00AC577F" w:rsidTr="00791B0C">
        <w:tc>
          <w:tcPr>
            <w:tcW w:w="4253" w:type="dxa"/>
            <w:gridSpan w:val="4"/>
            <w:tcBorders>
              <w:top w:val="single" w:sz="4" w:space="0" w:color="auto"/>
              <w:left w:val="single" w:sz="4" w:space="0" w:color="auto"/>
              <w:bottom w:val="single" w:sz="4" w:space="0" w:color="auto"/>
              <w:right w:val="single" w:sz="4" w:space="0" w:color="auto"/>
            </w:tcBorders>
            <w:shd w:val="clear" w:color="auto" w:fill="auto"/>
          </w:tcPr>
          <w:p w:rsidR="009C22E5" w:rsidRPr="00AC577F" w:rsidRDefault="009C22E5" w:rsidP="00416A0F">
            <w:pPr>
              <w:rPr>
                <w:rFonts w:cs="Arial"/>
              </w:rPr>
            </w:pPr>
            <w:r w:rsidRPr="00CD5F42">
              <w:rPr>
                <w:rFonts w:cs="Arial"/>
              </w:rPr>
              <w:t>5</w:t>
            </w:r>
            <w:r>
              <w:rPr>
                <w:rFonts w:cs="Arial"/>
              </w:rPr>
              <w:t>.</w:t>
            </w:r>
            <w:r w:rsidRPr="00CD5F42">
              <w:rPr>
                <w:rFonts w:cs="Arial"/>
              </w:rPr>
              <w:t xml:space="preserve"> That progress against new income targets expected to be achieved by trading ‘white collar’ services (e.g. legal, HR) should be particularly closely monitored given that this is a relatively new area of trading for the Council.</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9C22E5" w:rsidRPr="00AC577F" w:rsidRDefault="009C22E5" w:rsidP="00416A0F">
            <w:pPr>
              <w:rPr>
                <w:rFonts w:cs="Arial"/>
              </w:rPr>
            </w:pPr>
            <w:r>
              <w:rPr>
                <w:rFonts w:cs="Arial"/>
              </w:rPr>
              <w:t>Y</w:t>
            </w:r>
          </w:p>
        </w:tc>
        <w:tc>
          <w:tcPr>
            <w:tcW w:w="5528" w:type="dxa"/>
            <w:gridSpan w:val="7"/>
            <w:tcBorders>
              <w:top w:val="single" w:sz="4" w:space="0" w:color="auto"/>
              <w:left w:val="single" w:sz="4" w:space="0" w:color="auto"/>
              <w:bottom w:val="single" w:sz="4" w:space="0" w:color="auto"/>
            </w:tcBorders>
            <w:shd w:val="clear" w:color="auto" w:fill="auto"/>
          </w:tcPr>
          <w:p w:rsidR="009C22E5" w:rsidRPr="00AC577F" w:rsidRDefault="009C22E5" w:rsidP="00416A0F">
            <w:pPr>
              <w:rPr>
                <w:rFonts w:cs="Arial"/>
              </w:rPr>
            </w:pPr>
            <w:r w:rsidRPr="00EE3E1C">
              <w:rPr>
                <w:rFonts w:cs="Arial"/>
                <w:b/>
              </w:rPr>
              <w:t>Agreed</w:t>
            </w:r>
            <w:r>
              <w:rPr>
                <w:rFonts w:cs="Arial"/>
              </w:rPr>
              <w:t xml:space="preserve"> All trading income targets are reported and monitored monthly </w:t>
            </w:r>
          </w:p>
        </w:tc>
        <w:tc>
          <w:tcPr>
            <w:tcW w:w="1559" w:type="dxa"/>
            <w:vMerge/>
          </w:tcPr>
          <w:p w:rsidR="009C22E5" w:rsidRPr="00EE3E1C" w:rsidRDefault="009C22E5" w:rsidP="00416A0F">
            <w:pPr>
              <w:rPr>
                <w:rFonts w:cs="Arial"/>
                <w:b/>
              </w:rPr>
            </w:pPr>
          </w:p>
        </w:tc>
        <w:tc>
          <w:tcPr>
            <w:tcW w:w="1418" w:type="dxa"/>
            <w:tcBorders>
              <w:top w:val="single" w:sz="4" w:space="0" w:color="auto"/>
              <w:bottom w:val="single" w:sz="4" w:space="0" w:color="auto"/>
              <w:right w:val="single" w:sz="4" w:space="0" w:color="auto"/>
            </w:tcBorders>
          </w:tcPr>
          <w:p w:rsidR="009C22E5" w:rsidRPr="009C22E5" w:rsidRDefault="009C22E5" w:rsidP="00416A0F">
            <w:pPr>
              <w:rPr>
                <w:rFonts w:cs="Arial"/>
              </w:rPr>
            </w:pPr>
            <w:r>
              <w:rPr>
                <w:rFonts w:cs="Arial"/>
              </w:rPr>
              <w:t>Y</w:t>
            </w:r>
          </w:p>
        </w:tc>
      </w:tr>
      <w:tr w:rsidR="009C22E5" w:rsidRPr="00AC577F" w:rsidTr="00791B0C">
        <w:tc>
          <w:tcPr>
            <w:tcW w:w="4253" w:type="dxa"/>
            <w:gridSpan w:val="4"/>
            <w:tcBorders>
              <w:top w:val="single" w:sz="4" w:space="0" w:color="auto"/>
              <w:left w:val="single" w:sz="4" w:space="0" w:color="auto"/>
              <w:bottom w:val="single" w:sz="4" w:space="0" w:color="auto"/>
              <w:right w:val="single" w:sz="4" w:space="0" w:color="auto"/>
            </w:tcBorders>
            <w:shd w:val="clear" w:color="auto" w:fill="auto"/>
          </w:tcPr>
          <w:p w:rsidR="009C22E5" w:rsidRPr="00AC577F" w:rsidRDefault="009C22E5" w:rsidP="00416A0F">
            <w:pPr>
              <w:rPr>
                <w:rFonts w:cs="Arial"/>
              </w:rPr>
            </w:pPr>
            <w:r w:rsidRPr="00CD5F42">
              <w:rPr>
                <w:rFonts w:cs="Arial"/>
              </w:rPr>
              <w:t>6</w:t>
            </w:r>
            <w:r>
              <w:rPr>
                <w:rFonts w:cs="Arial"/>
              </w:rPr>
              <w:t xml:space="preserve">. </w:t>
            </w:r>
            <w:r w:rsidRPr="00CD5F42">
              <w:rPr>
                <w:rFonts w:cs="Arial"/>
              </w:rPr>
              <w:t>That the Council should continue to maximise income from its commercial assets, including by actively exploring the feasibility of generating income by leasing spaces (so called ‘air leases’) above Council-owned car parks, for example for buildings or solar power generation.</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9C22E5" w:rsidRPr="00AC577F" w:rsidRDefault="009C22E5" w:rsidP="00416A0F">
            <w:pPr>
              <w:rPr>
                <w:rFonts w:cs="Arial"/>
              </w:rPr>
            </w:pPr>
            <w:r>
              <w:rPr>
                <w:rFonts w:cs="Arial"/>
              </w:rPr>
              <w:t>Part</w:t>
            </w:r>
          </w:p>
        </w:tc>
        <w:tc>
          <w:tcPr>
            <w:tcW w:w="5528" w:type="dxa"/>
            <w:gridSpan w:val="7"/>
            <w:tcBorders>
              <w:top w:val="single" w:sz="4" w:space="0" w:color="auto"/>
              <w:left w:val="single" w:sz="4" w:space="0" w:color="auto"/>
              <w:bottom w:val="single" w:sz="4" w:space="0" w:color="auto"/>
            </w:tcBorders>
            <w:shd w:val="clear" w:color="auto" w:fill="auto"/>
          </w:tcPr>
          <w:p w:rsidR="009C22E5" w:rsidRPr="00AC577F" w:rsidRDefault="009C22E5" w:rsidP="00416A0F">
            <w:pPr>
              <w:rPr>
                <w:rFonts w:cs="Arial"/>
              </w:rPr>
            </w:pPr>
            <w:r>
              <w:rPr>
                <w:rFonts w:cs="Arial"/>
              </w:rPr>
              <w:t xml:space="preserve">On the general point </w:t>
            </w:r>
            <w:r w:rsidRPr="000804E3">
              <w:rPr>
                <w:rFonts w:cs="Arial"/>
              </w:rPr>
              <w:t xml:space="preserve">about maximising its income from commercial assets – this is a firm aim of the administration, provided other corporate aims of the council are not threatened.  On the issue of “air leases”, this has of course already been agreed in the case of St. </w:t>
            </w:r>
            <w:r>
              <w:rPr>
                <w:rFonts w:cs="Arial"/>
              </w:rPr>
              <w:t>Clements’</w:t>
            </w:r>
            <w:r w:rsidRPr="000804E3">
              <w:rPr>
                <w:rFonts w:cs="Arial"/>
              </w:rPr>
              <w:t xml:space="preserve"> car park, and is being explored in other cases.  However, the potential should not be over-stated, particularly for residential accommodation, where there may well be severe concerns about the quality of such accommodation and living environment that could be provided, and the administration has no desire to build floating slums.</w:t>
            </w:r>
            <w:r>
              <w:rPr>
                <w:rFonts w:cs="Arial"/>
              </w:rPr>
              <w:t xml:space="preserve"> Officers will explore this concept and where there is a proven business case plans will be brought forward for Members to consider.</w:t>
            </w:r>
          </w:p>
        </w:tc>
        <w:tc>
          <w:tcPr>
            <w:tcW w:w="1559" w:type="dxa"/>
            <w:vMerge/>
          </w:tcPr>
          <w:p w:rsidR="009C22E5" w:rsidRDefault="009C22E5" w:rsidP="00416A0F">
            <w:pPr>
              <w:rPr>
                <w:rFonts w:cs="Arial"/>
              </w:rPr>
            </w:pPr>
          </w:p>
        </w:tc>
        <w:tc>
          <w:tcPr>
            <w:tcW w:w="1418" w:type="dxa"/>
            <w:tcBorders>
              <w:top w:val="single" w:sz="4" w:space="0" w:color="auto"/>
              <w:bottom w:val="single" w:sz="4" w:space="0" w:color="auto"/>
              <w:right w:val="single" w:sz="4" w:space="0" w:color="auto"/>
            </w:tcBorders>
          </w:tcPr>
          <w:p w:rsidR="009C22E5" w:rsidRPr="009C22E5" w:rsidRDefault="009C22E5" w:rsidP="00416A0F">
            <w:pPr>
              <w:rPr>
                <w:rFonts w:cs="Arial"/>
              </w:rPr>
            </w:pPr>
            <w:r>
              <w:rPr>
                <w:rFonts w:cs="Arial"/>
              </w:rPr>
              <w:t>Dec 2016</w:t>
            </w:r>
          </w:p>
        </w:tc>
      </w:tr>
      <w:tr w:rsidR="009C22E5" w:rsidRPr="00AC577F" w:rsidTr="00791B0C">
        <w:tc>
          <w:tcPr>
            <w:tcW w:w="4253" w:type="dxa"/>
            <w:gridSpan w:val="4"/>
            <w:tcBorders>
              <w:top w:val="single" w:sz="4" w:space="0" w:color="auto"/>
              <w:left w:val="single" w:sz="4" w:space="0" w:color="auto"/>
              <w:bottom w:val="single" w:sz="4" w:space="0" w:color="auto"/>
              <w:right w:val="single" w:sz="4" w:space="0" w:color="auto"/>
            </w:tcBorders>
            <w:shd w:val="clear" w:color="auto" w:fill="auto"/>
          </w:tcPr>
          <w:p w:rsidR="009C22E5" w:rsidRPr="00AC577F" w:rsidRDefault="009C22E5" w:rsidP="00416A0F">
            <w:pPr>
              <w:rPr>
                <w:rFonts w:cs="Arial"/>
              </w:rPr>
            </w:pPr>
            <w:r>
              <w:rPr>
                <w:rFonts w:cs="Arial"/>
              </w:rPr>
              <w:t>7.</w:t>
            </w:r>
            <w:r w:rsidRPr="00CD5F42">
              <w:rPr>
                <w:rFonts w:cs="Arial"/>
              </w:rPr>
              <w:t xml:space="preserve"> That Council Officers should explore whether there are </w:t>
            </w:r>
            <w:r w:rsidRPr="00CD5F42">
              <w:rPr>
                <w:rFonts w:cs="Arial"/>
              </w:rPr>
              <w:lastRenderedPageBreak/>
              <w:t>opportunities to generate regular revenue income in Environmental Sustainability in order to reduce the net budget requirement of that service, which has a good record of achieving one-off funding.</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9C22E5" w:rsidRPr="00AC577F" w:rsidRDefault="009C22E5" w:rsidP="00416A0F">
            <w:pPr>
              <w:rPr>
                <w:rFonts w:cs="Arial"/>
              </w:rPr>
            </w:pPr>
            <w:r>
              <w:rPr>
                <w:rFonts w:cs="Arial"/>
              </w:rPr>
              <w:lastRenderedPageBreak/>
              <w:t>Y</w:t>
            </w:r>
          </w:p>
        </w:tc>
        <w:tc>
          <w:tcPr>
            <w:tcW w:w="5528" w:type="dxa"/>
            <w:gridSpan w:val="7"/>
            <w:tcBorders>
              <w:top w:val="single" w:sz="4" w:space="0" w:color="auto"/>
              <w:left w:val="single" w:sz="4" w:space="0" w:color="auto"/>
              <w:bottom w:val="single" w:sz="4" w:space="0" w:color="auto"/>
            </w:tcBorders>
            <w:shd w:val="clear" w:color="auto" w:fill="auto"/>
          </w:tcPr>
          <w:p w:rsidR="009C22E5" w:rsidRPr="00AC577F" w:rsidRDefault="009C22E5" w:rsidP="00416A0F">
            <w:pPr>
              <w:rPr>
                <w:rFonts w:cs="Arial"/>
              </w:rPr>
            </w:pPr>
            <w:r w:rsidRPr="00EE3E1C">
              <w:rPr>
                <w:rFonts w:cs="Arial"/>
                <w:b/>
              </w:rPr>
              <w:t>Agreed</w:t>
            </w:r>
            <w:r>
              <w:rPr>
                <w:rFonts w:cs="Arial"/>
              </w:rPr>
              <w:t xml:space="preserve">  Officers will continue to identify funding which assists in meeting  the Councils objectives </w:t>
            </w:r>
            <w:r>
              <w:rPr>
                <w:rFonts w:cs="Arial"/>
              </w:rPr>
              <w:lastRenderedPageBreak/>
              <w:t xml:space="preserve">and is financially beneficial  </w:t>
            </w:r>
          </w:p>
        </w:tc>
        <w:tc>
          <w:tcPr>
            <w:tcW w:w="1559" w:type="dxa"/>
            <w:vMerge/>
          </w:tcPr>
          <w:p w:rsidR="009C22E5" w:rsidRPr="00EE3E1C" w:rsidRDefault="009C22E5" w:rsidP="00416A0F">
            <w:pPr>
              <w:rPr>
                <w:rFonts w:cs="Arial"/>
                <w:b/>
              </w:rPr>
            </w:pPr>
          </w:p>
        </w:tc>
        <w:tc>
          <w:tcPr>
            <w:tcW w:w="1418" w:type="dxa"/>
            <w:tcBorders>
              <w:top w:val="single" w:sz="4" w:space="0" w:color="auto"/>
              <w:bottom w:val="single" w:sz="4" w:space="0" w:color="auto"/>
              <w:right w:val="single" w:sz="4" w:space="0" w:color="auto"/>
            </w:tcBorders>
          </w:tcPr>
          <w:p w:rsidR="009C22E5" w:rsidRPr="009C22E5" w:rsidRDefault="009C22E5" w:rsidP="00416A0F">
            <w:pPr>
              <w:rPr>
                <w:rFonts w:cs="Arial"/>
              </w:rPr>
            </w:pPr>
            <w:r>
              <w:rPr>
                <w:rFonts w:cs="Arial"/>
              </w:rPr>
              <w:t>Dec 2016</w:t>
            </w:r>
          </w:p>
        </w:tc>
      </w:tr>
      <w:tr w:rsidR="009C22E5" w:rsidRPr="00AC577F" w:rsidTr="00791B0C">
        <w:tc>
          <w:tcPr>
            <w:tcW w:w="4253" w:type="dxa"/>
            <w:gridSpan w:val="4"/>
            <w:tcBorders>
              <w:top w:val="single" w:sz="4" w:space="0" w:color="auto"/>
              <w:left w:val="single" w:sz="4" w:space="0" w:color="auto"/>
              <w:bottom w:val="single" w:sz="4" w:space="0" w:color="auto"/>
              <w:right w:val="single" w:sz="4" w:space="0" w:color="auto"/>
            </w:tcBorders>
            <w:shd w:val="clear" w:color="auto" w:fill="auto"/>
          </w:tcPr>
          <w:p w:rsidR="009C22E5" w:rsidRPr="00AC577F" w:rsidRDefault="009C22E5" w:rsidP="00416A0F">
            <w:pPr>
              <w:rPr>
                <w:rFonts w:cs="Arial"/>
              </w:rPr>
            </w:pPr>
            <w:r>
              <w:rPr>
                <w:rFonts w:cs="Arial"/>
              </w:rPr>
              <w:lastRenderedPageBreak/>
              <w:t>8.</w:t>
            </w:r>
            <w:r w:rsidRPr="00CD5F42">
              <w:rPr>
                <w:rFonts w:cs="Arial"/>
              </w:rPr>
              <w:t xml:space="preserve"> That the Council should continue to engage constructively with Oxfordshire County Council in order to achieve common charging across all Oxford Park and Ride sites and protect planned additional income of £580k per annum from 2018/19.</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9C22E5" w:rsidRPr="00AC577F" w:rsidRDefault="009C22E5" w:rsidP="00416A0F">
            <w:pPr>
              <w:rPr>
                <w:rFonts w:cs="Arial"/>
              </w:rPr>
            </w:pPr>
            <w:r>
              <w:rPr>
                <w:rFonts w:cs="Arial"/>
              </w:rPr>
              <w:t>Part</w:t>
            </w:r>
          </w:p>
        </w:tc>
        <w:tc>
          <w:tcPr>
            <w:tcW w:w="5528" w:type="dxa"/>
            <w:gridSpan w:val="7"/>
            <w:tcBorders>
              <w:top w:val="single" w:sz="4" w:space="0" w:color="auto"/>
              <w:left w:val="single" w:sz="4" w:space="0" w:color="auto"/>
              <w:bottom w:val="single" w:sz="4" w:space="0" w:color="auto"/>
            </w:tcBorders>
            <w:shd w:val="clear" w:color="auto" w:fill="auto"/>
          </w:tcPr>
          <w:p w:rsidR="009C22E5" w:rsidRPr="00AC577F" w:rsidRDefault="009C22E5" w:rsidP="00416A0F">
            <w:pPr>
              <w:rPr>
                <w:rFonts w:cs="Arial"/>
              </w:rPr>
            </w:pPr>
            <w:r w:rsidRPr="00D16BC9">
              <w:rPr>
                <w:rFonts w:cs="Arial"/>
                <w:b/>
              </w:rPr>
              <w:t xml:space="preserve">Agreed </w:t>
            </w:r>
            <w:r w:rsidRPr="000804E3">
              <w:rPr>
                <w:rFonts w:cs="Arial"/>
              </w:rPr>
              <w:t>We will engage with the County Council to try to ensure a joined-up approach to park and ride charging.  The additional income is based upon an estimate of likely policy changes.</w:t>
            </w:r>
          </w:p>
        </w:tc>
        <w:tc>
          <w:tcPr>
            <w:tcW w:w="1559" w:type="dxa"/>
            <w:vMerge/>
          </w:tcPr>
          <w:p w:rsidR="009C22E5" w:rsidRPr="00D16BC9" w:rsidRDefault="009C22E5" w:rsidP="00416A0F">
            <w:pPr>
              <w:rPr>
                <w:rFonts w:cs="Arial"/>
                <w:b/>
              </w:rPr>
            </w:pPr>
          </w:p>
        </w:tc>
        <w:tc>
          <w:tcPr>
            <w:tcW w:w="1418" w:type="dxa"/>
            <w:tcBorders>
              <w:top w:val="single" w:sz="4" w:space="0" w:color="auto"/>
              <w:bottom w:val="single" w:sz="4" w:space="0" w:color="auto"/>
              <w:right w:val="single" w:sz="4" w:space="0" w:color="auto"/>
            </w:tcBorders>
          </w:tcPr>
          <w:p w:rsidR="009C22E5" w:rsidRPr="009C22E5" w:rsidRDefault="009C22E5" w:rsidP="00416A0F">
            <w:pPr>
              <w:rPr>
                <w:rFonts w:cs="Arial"/>
              </w:rPr>
            </w:pPr>
            <w:r>
              <w:rPr>
                <w:rFonts w:cs="Arial"/>
              </w:rPr>
              <w:t>Dec 2016</w:t>
            </w:r>
          </w:p>
        </w:tc>
      </w:tr>
      <w:tr w:rsidR="009C22E5" w:rsidRPr="00AC577F" w:rsidTr="00791B0C">
        <w:tc>
          <w:tcPr>
            <w:tcW w:w="4253" w:type="dxa"/>
            <w:gridSpan w:val="4"/>
            <w:tcBorders>
              <w:top w:val="single" w:sz="4" w:space="0" w:color="auto"/>
              <w:left w:val="single" w:sz="4" w:space="0" w:color="auto"/>
              <w:bottom w:val="single" w:sz="4" w:space="0" w:color="auto"/>
              <w:right w:val="single" w:sz="4" w:space="0" w:color="auto"/>
            </w:tcBorders>
            <w:shd w:val="clear" w:color="auto" w:fill="auto"/>
          </w:tcPr>
          <w:p w:rsidR="009C22E5" w:rsidRPr="00CD5F42" w:rsidRDefault="009C22E5" w:rsidP="00416A0F">
            <w:pPr>
              <w:rPr>
                <w:rFonts w:cs="Arial"/>
              </w:rPr>
            </w:pPr>
            <w:r>
              <w:rPr>
                <w:rFonts w:cs="Arial"/>
              </w:rPr>
              <w:t>9.</w:t>
            </w:r>
            <w:r w:rsidRPr="00CD5F42">
              <w:rPr>
                <w:rFonts w:cs="Arial"/>
              </w:rPr>
              <w:t xml:space="preserve"> That Council Officers should explore whether there are opportunities to increase income by charging ‘premium’ and/or seasonal fees and charges, including specifically for the following:</w:t>
            </w:r>
          </w:p>
          <w:p w:rsidR="009C22E5" w:rsidRPr="00CD5F42" w:rsidRDefault="009C22E5" w:rsidP="00416A0F">
            <w:pPr>
              <w:rPr>
                <w:rFonts w:cs="Arial"/>
              </w:rPr>
            </w:pPr>
            <w:r>
              <w:rPr>
                <w:rFonts w:cs="Arial"/>
              </w:rPr>
              <w:t xml:space="preserve">a) </w:t>
            </w:r>
            <w:r w:rsidRPr="00CD5F42">
              <w:rPr>
                <w:rFonts w:cs="Arial"/>
              </w:rPr>
              <w:t>Commercial filming (including higher premiums for late notice requests);</w:t>
            </w:r>
          </w:p>
          <w:p w:rsidR="009C22E5" w:rsidRPr="00CD5F42" w:rsidRDefault="009C22E5" w:rsidP="00416A0F">
            <w:pPr>
              <w:rPr>
                <w:rFonts w:cs="Arial"/>
              </w:rPr>
            </w:pPr>
            <w:r>
              <w:rPr>
                <w:rFonts w:cs="Arial"/>
              </w:rPr>
              <w:t xml:space="preserve">b) </w:t>
            </w:r>
            <w:r w:rsidRPr="00CD5F42">
              <w:rPr>
                <w:rFonts w:cs="Arial"/>
              </w:rPr>
              <w:t>Householder services – such as bulky items collection;</w:t>
            </w:r>
          </w:p>
          <w:p w:rsidR="009C22E5" w:rsidRPr="00AC577F" w:rsidRDefault="009C22E5" w:rsidP="00416A0F">
            <w:pPr>
              <w:rPr>
                <w:rFonts w:cs="Arial"/>
              </w:rPr>
            </w:pPr>
            <w:r>
              <w:rPr>
                <w:rFonts w:cs="Arial"/>
              </w:rPr>
              <w:t xml:space="preserve">c) </w:t>
            </w:r>
            <w:r w:rsidRPr="00CD5F42">
              <w:rPr>
                <w:rFonts w:cs="Arial"/>
              </w:rPr>
              <w:t>Pre-Christmas premiums for Town Hall bookings and commercial events in prime locations (e.g. Broad Street markets).</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9C22E5" w:rsidRPr="00AC577F" w:rsidRDefault="009C22E5" w:rsidP="00416A0F">
            <w:pPr>
              <w:rPr>
                <w:rFonts w:cs="Arial"/>
              </w:rPr>
            </w:pPr>
            <w:r>
              <w:rPr>
                <w:rFonts w:cs="Arial"/>
              </w:rPr>
              <w:t>Part</w:t>
            </w:r>
          </w:p>
        </w:tc>
        <w:tc>
          <w:tcPr>
            <w:tcW w:w="5528" w:type="dxa"/>
            <w:gridSpan w:val="7"/>
            <w:tcBorders>
              <w:top w:val="single" w:sz="4" w:space="0" w:color="auto"/>
              <w:left w:val="single" w:sz="4" w:space="0" w:color="auto"/>
              <w:bottom w:val="single" w:sz="4" w:space="0" w:color="auto"/>
            </w:tcBorders>
            <w:shd w:val="clear" w:color="auto" w:fill="auto"/>
          </w:tcPr>
          <w:p w:rsidR="009C22E5" w:rsidRDefault="009C22E5" w:rsidP="00416A0F">
            <w:pPr>
              <w:rPr>
                <w:rFonts w:cs="Arial"/>
              </w:rPr>
            </w:pPr>
            <w:r w:rsidRPr="001F38E2">
              <w:rPr>
                <w:rFonts w:cs="Arial"/>
                <w:b/>
              </w:rPr>
              <w:t>Agreed.</w:t>
            </w:r>
            <w:r>
              <w:rPr>
                <w:rFonts w:cs="Arial"/>
              </w:rPr>
              <w:t xml:space="preserve"> Fees and Charges are reviewed annually to ensure amongst other things they are in line with market rates.</w:t>
            </w:r>
          </w:p>
          <w:p w:rsidR="009C22E5" w:rsidRDefault="009C22E5" w:rsidP="009C22E5">
            <w:pPr>
              <w:pStyle w:val="ListParagraph"/>
              <w:numPr>
                <w:ilvl w:val="0"/>
                <w:numId w:val="40"/>
              </w:numPr>
            </w:pPr>
            <w:r w:rsidRPr="00CB516E">
              <w:t>The Council only receive arou</w:t>
            </w:r>
            <w:r>
              <w:t>n</w:t>
            </w:r>
            <w:r w:rsidRPr="00CB516E">
              <w:t>d £1200 per annum from filming and therefore charging a premium price may have negligible impact on the overall financial position of the Council</w:t>
            </w:r>
          </w:p>
          <w:p w:rsidR="009C22E5" w:rsidRPr="000804E3" w:rsidRDefault="009C22E5" w:rsidP="009C22E5">
            <w:pPr>
              <w:pStyle w:val="ListParagraph"/>
              <w:numPr>
                <w:ilvl w:val="0"/>
                <w:numId w:val="40"/>
              </w:numPr>
            </w:pPr>
            <w:r w:rsidRPr="000804E3">
              <w:t xml:space="preserve">Each household is currently entitled to 2 free collections per year of up to 3 items per visit, thereafter there is a charge. The Council believes it counterproductive to charge for all bulky waste collections since this will encourage fly tipping together with a costly clear up operation. </w:t>
            </w:r>
          </w:p>
          <w:p w:rsidR="009C22E5" w:rsidRPr="00944237" w:rsidRDefault="009C22E5" w:rsidP="009C22E5">
            <w:pPr>
              <w:pStyle w:val="ListParagraph"/>
              <w:numPr>
                <w:ilvl w:val="0"/>
                <w:numId w:val="40"/>
              </w:numPr>
            </w:pPr>
            <w:r>
              <w:t>The prices charged for events and town hall bookings are considered to be competitive in the market and it may be counterproductive to vary these significantly</w:t>
            </w:r>
          </w:p>
          <w:p w:rsidR="009C22E5" w:rsidRPr="00AC577F" w:rsidRDefault="009C22E5" w:rsidP="00416A0F">
            <w:pPr>
              <w:rPr>
                <w:rFonts w:cs="Arial"/>
              </w:rPr>
            </w:pPr>
          </w:p>
        </w:tc>
        <w:tc>
          <w:tcPr>
            <w:tcW w:w="1559" w:type="dxa"/>
            <w:vMerge/>
          </w:tcPr>
          <w:p w:rsidR="009C22E5" w:rsidRPr="001F38E2" w:rsidRDefault="009C22E5" w:rsidP="00416A0F">
            <w:pPr>
              <w:rPr>
                <w:rFonts w:cs="Arial"/>
                <w:b/>
              </w:rPr>
            </w:pPr>
          </w:p>
        </w:tc>
        <w:tc>
          <w:tcPr>
            <w:tcW w:w="1418" w:type="dxa"/>
            <w:tcBorders>
              <w:top w:val="single" w:sz="4" w:space="0" w:color="auto"/>
              <w:bottom w:val="single" w:sz="4" w:space="0" w:color="auto"/>
              <w:right w:val="single" w:sz="4" w:space="0" w:color="auto"/>
            </w:tcBorders>
          </w:tcPr>
          <w:p w:rsidR="009C22E5" w:rsidRPr="009C22E5" w:rsidRDefault="009C22E5" w:rsidP="00416A0F">
            <w:pPr>
              <w:rPr>
                <w:rFonts w:cs="Arial"/>
              </w:rPr>
            </w:pPr>
            <w:r>
              <w:rPr>
                <w:rFonts w:cs="Arial"/>
              </w:rPr>
              <w:t>Y</w:t>
            </w:r>
          </w:p>
        </w:tc>
      </w:tr>
      <w:tr w:rsidR="009C22E5" w:rsidRPr="00AC577F" w:rsidTr="00791B0C">
        <w:tc>
          <w:tcPr>
            <w:tcW w:w="4253" w:type="dxa"/>
            <w:gridSpan w:val="4"/>
            <w:tcBorders>
              <w:top w:val="single" w:sz="4" w:space="0" w:color="auto"/>
              <w:left w:val="single" w:sz="4" w:space="0" w:color="auto"/>
              <w:bottom w:val="single" w:sz="4" w:space="0" w:color="auto"/>
              <w:right w:val="single" w:sz="4" w:space="0" w:color="auto"/>
            </w:tcBorders>
            <w:shd w:val="clear" w:color="auto" w:fill="auto"/>
          </w:tcPr>
          <w:p w:rsidR="009C22E5" w:rsidRPr="00AC577F" w:rsidRDefault="009C22E5" w:rsidP="00416A0F">
            <w:pPr>
              <w:rPr>
                <w:rFonts w:cs="Arial"/>
              </w:rPr>
            </w:pPr>
            <w:r>
              <w:rPr>
                <w:rFonts w:cs="Arial"/>
              </w:rPr>
              <w:lastRenderedPageBreak/>
              <w:t>10.</w:t>
            </w:r>
            <w:r w:rsidRPr="00CD5F42">
              <w:rPr>
                <w:rFonts w:cs="Arial"/>
              </w:rPr>
              <w:t xml:space="preserve"> That the anonymised results of the new biennial Best Companies employee engagement survey should be made available to elected members.</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9C22E5" w:rsidRPr="00AC577F" w:rsidRDefault="009C22E5" w:rsidP="00416A0F">
            <w:pPr>
              <w:rPr>
                <w:rFonts w:cs="Arial"/>
              </w:rPr>
            </w:pPr>
            <w:r>
              <w:rPr>
                <w:rFonts w:cs="Arial"/>
              </w:rPr>
              <w:t>Y</w:t>
            </w:r>
          </w:p>
        </w:tc>
        <w:tc>
          <w:tcPr>
            <w:tcW w:w="5528" w:type="dxa"/>
            <w:gridSpan w:val="7"/>
            <w:tcBorders>
              <w:top w:val="single" w:sz="4" w:space="0" w:color="auto"/>
              <w:left w:val="single" w:sz="4" w:space="0" w:color="auto"/>
              <w:bottom w:val="single" w:sz="4" w:space="0" w:color="auto"/>
            </w:tcBorders>
            <w:shd w:val="clear" w:color="auto" w:fill="auto"/>
          </w:tcPr>
          <w:p w:rsidR="009C22E5" w:rsidRPr="002A1B14" w:rsidRDefault="009C22E5" w:rsidP="00416A0F">
            <w:pPr>
              <w:rPr>
                <w:rFonts w:cs="Arial"/>
                <w:b/>
              </w:rPr>
            </w:pPr>
            <w:r w:rsidRPr="002A1B14">
              <w:rPr>
                <w:rFonts w:cs="Arial"/>
                <w:b/>
              </w:rPr>
              <w:t>Agreed</w:t>
            </w:r>
          </w:p>
        </w:tc>
        <w:tc>
          <w:tcPr>
            <w:tcW w:w="1559" w:type="dxa"/>
            <w:vMerge/>
          </w:tcPr>
          <w:p w:rsidR="009C22E5" w:rsidRPr="002A1B14" w:rsidRDefault="009C22E5" w:rsidP="00416A0F">
            <w:pPr>
              <w:rPr>
                <w:rFonts w:cs="Arial"/>
                <w:b/>
              </w:rPr>
            </w:pPr>
          </w:p>
        </w:tc>
        <w:tc>
          <w:tcPr>
            <w:tcW w:w="1418" w:type="dxa"/>
            <w:tcBorders>
              <w:top w:val="single" w:sz="4" w:space="0" w:color="auto"/>
              <w:bottom w:val="single" w:sz="4" w:space="0" w:color="auto"/>
              <w:right w:val="single" w:sz="4" w:space="0" w:color="auto"/>
            </w:tcBorders>
          </w:tcPr>
          <w:p w:rsidR="009C22E5" w:rsidRPr="009C22E5" w:rsidRDefault="009C22E5" w:rsidP="00416A0F">
            <w:pPr>
              <w:rPr>
                <w:rFonts w:cs="Arial"/>
              </w:rPr>
            </w:pPr>
            <w:r>
              <w:rPr>
                <w:rFonts w:cs="Arial"/>
              </w:rPr>
              <w:t>Dec 2016</w:t>
            </w:r>
          </w:p>
        </w:tc>
      </w:tr>
      <w:tr w:rsidR="009C22E5" w:rsidRPr="00AC577F" w:rsidTr="00791B0C">
        <w:tc>
          <w:tcPr>
            <w:tcW w:w="4253" w:type="dxa"/>
            <w:gridSpan w:val="4"/>
            <w:tcBorders>
              <w:top w:val="single" w:sz="4" w:space="0" w:color="auto"/>
              <w:left w:val="single" w:sz="4" w:space="0" w:color="auto"/>
              <w:bottom w:val="single" w:sz="4" w:space="0" w:color="auto"/>
              <w:right w:val="single" w:sz="4" w:space="0" w:color="auto"/>
            </w:tcBorders>
            <w:shd w:val="clear" w:color="auto" w:fill="auto"/>
          </w:tcPr>
          <w:p w:rsidR="009C22E5" w:rsidRPr="00AC577F" w:rsidRDefault="009C22E5" w:rsidP="00416A0F">
            <w:pPr>
              <w:rPr>
                <w:rFonts w:cs="Arial"/>
              </w:rPr>
            </w:pPr>
            <w:r>
              <w:rPr>
                <w:rFonts w:cs="Arial"/>
              </w:rPr>
              <w:t>11.</w:t>
            </w:r>
            <w:r w:rsidRPr="00CD5F42">
              <w:rPr>
                <w:rFonts w:cs="Arial"/>
              </w:rPr>
              <w:t xml:space="preserve"> That in light of a possible underspend this year, consideration should be given to removing part of the residual £43k of educational attainment funding sooner than planned.</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9C22E5" w:rsidRPr="00AC577F" w:rsidRDefault="009C22E5" w:rsidP="00416A0F">
            <w:pPr>
              <w:rPr>
                <w:rFonts w:cs="Arial"/>
              </w:rPr>
            </w:pPr>
            <w:r>
              <w:rPr>
                <w:rFonts w:cs="Arial"/>
              </w:rPr>
              <w:t>N</w:t>
            </w:r>
          </w:p>
        </w:tc>
        <w:tc>
          <w:tcPr>
            <w:tcW w:w="5528" w:type="dxa"/>
            <w:gridSpan w:val="7"/>
            <w:tcBorders>
              <w:top w:val="single" w:sz="4" w:space="0" w:color="auto"/>
              <w:left w:val="single" w:sz="4" w:space="0" w:color="auto"/>
              <w:bottom w:val="single" w:sz="4" w:space="0" w:color="auto"/>
            </w:tcBorders>
            <w:shd w:val="clear" w:color="auto" w:fill="auto"/>
          </w:tcPr>
          <w:p w:rsidR="009C22E5" w:rsidRPr="00AC577F" w:rsidRDefault="009C22E5" w:rsidP="00416A0F">
            <w:pPr>
              <w:rPr>
                <w:rFonts w:cs="Arial"/>
              </w:rPr>
            </w:pPr>
            <w:r w:rsidRPr="001F38E2">
              <w:rPr>
                <w:b/>
                <w:color w:val="000000"/>
              </w:rPr>
              <w:t>Not Agreed.</w:t>
            </w:r>
            <w:r>
              <w:rPr>
                <w:color w:val="000000"/>
              </w:rPr>
              <w:t xml:space="preserve"> It is anticipated that the funding for educational attainment will be fully spent. Officers are working with the Portfolio Holder for Young People Schools and Skills to review commitments and alternative proposals to ensure this occurs.  </w:t>
            </w:r>
          </w:p>
        </w:tc>
        <w:tc>
          <w:tcPr>
            <w:tcW w:w="1559" w:type="dxa"/>
            <w:vMerge/>
          </w:tcPr>
          <w:p w:rsidR="009C22E5" w:rsidRPr="001F38E2" w:rsidRDefault="009C22E5" w:rsidP="00416A0F">
            <w:pPr>
              <w:rPr>
                <w:b/>
                <w:color w:val="000000"/>
              </w:rPr>
            </w:pPr>
          </w:p>
        </w:tc>
        <w:tc>
          <w:tcPr>
            <w:tcW w:w="1418" w:type="dxa"/>
            <w:tcBorders>
              <w:top w:val="single" w:sz="4" w:space="0" w:color="auto"/>
              <w:bottom w:val="single" w:sz="4" w:space="0" w:color="auto"/>
              <w:right w:val="single" w:sz="4" w:space="0" w:color="auto"/>
            </w:tcBorders>
          </w:tcPr>
          <w:p w:rsidR="009C22E5" w:rsidRPr="009C22E5" w:rsidRDefault="009C22E5" w:rsidP="00416A0F">
            <w:pPr>
              <w:rPr>
                <w:color w:val="000000"/>
              </w:rPr>
            </w:pPr>
            <w:r>
              <w:rPr>
                <w:color w:val="000000"/>
              </w:rPr>
              <w:t>N/A</w:t>
            </w:r>
          </w:p>
        </w:tc>
      </w:tr>
      <w:tr w:rsidR="009C22E5" w:rsidRPr="00AC577F" w:rsidTr="00791B0C">
        <w:tc>
          <w:tcPr>
            <w:tcW w:w="4253" w:type="dxa"/>
            <w:gridSpan w:val="4"/>
            <w:tcBorders>
              <w:top w:val="single" w:sz="4" w:space="0" w:color="auto"/>
              <w:left w:val="single" w:sz="4" w:space="0" w:color="auto"/>
              <w:bottom w:val="single" w:sz="4" w:space="0" w:color="auto"/>
              <w:right w:val="single" w:sz="4" w:space="0" w:color="auto"/>
            </w:tcBorders>
            <w:shd w:val="clear" w:color="auto" w:fill="auto"/>
          </w:tcPr>
          <w:p w:rsidR="009C22E5" w:rsidRPr="00AC577F" w:rsidRDefault="009C22E5" w:rsidP="00416A0F">
            <w:pPr>
              <w:rPr>
                <w:rFonts w:cs="Arial"/>
              </w:rPr>
            </w:pPr>
            <w:r>
              <w:rPr>
                <w:rFonts w:cs="Arial"/>
              </w:rPr>
              <w:t>12.</w:t>
            </w:r>
            <w:r w:rsidRPr="00CD5F42">
              <w:rPr>
                <w:rFonts w:cs="Arial"/>
              </w:rPr>
              <w:t xml:space="preserve"> That the delivery of efficiency savings in Business Improvement and Financial Services that are expected to be achieved as a result Universal Credit roll-out, including the closure of Templar’s Square Customer Service Centre (which has been put back two years to 2019/20), should be kept under review with the aim of realising these savings earlier if possible.</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9C22E5" w:rsidRPr="00AC577F" w:rsidRDefault="009C22E5" w:rsidP="00416A0F">
            <w:pPr>
              <w:rPr>
                <w:rFonts w:cs="Arial"/>
              </w:rPr>
            </w:pPr>
            <w:r>
              <w:rPr>
                <w:rFonts w:cs="Arial"/>
              </w:rPr>
              <w:t>Y</w:t>
            </w:r>
          </w:p>
        </w:tc>
        <w:tc>
          <w:tcPr>
            <w:tcW w:w="5528" w:type="dxa"/>
            <w:gridSpan w:val="7"/>
            <w:tcBorders>
              <w:top w:val="single" w:sz="4" w:space="0" w:color="auto"/>
              <w:left w:val="single" w:sz="4" w:space="0" w:color="auto"/>
              <w:bottom w:val="single" w:sz="4" w:space="0" w:color="auto"/>
            </w:tcBorders>
            <w:shd w:val="clear" w:color="auto" w:fill="auto"/>
          </w:tcPr>
          <w:p w:rsidR="009C22E5" w:rsidRPr="00AC577F" w:rsidRDefault="009C22E5" w:rsidP="00416A0F">
            <w:pPr>
              <w:rPr>
                <w:rFonts w:cs="Arial"/>
              </w:rPr>
            </w:pPr>
            <w:r w:rsidRPr="001F38E2">
              <w:rPr>
                <w:rFonts w:cs="Arial"/>
                <w:b/>
              </w:rPr>
              <w:t>Agreed.</w:t>
            </w:r>
            <w:r>
              <w:rPr>
                <w:rFonts w:cs="Arial"/>
              </w:rPr>
              <w:t xml:space="preserve"> The timescale for the roll out of universal credit is still uncertain.  The digital service is expected to roll out to job centres between May 2016 and May 2018 with the conversion of benefit claims to be rolled out on an individual authority basis between 2018 and 2021.  The Council will adjust its service delivery and budget when the timetable is known.</w:t>
            </w:r>
          </w:p>
        </w:tc>
        <w:tc>
          <w:tcPr>
            <w:tcW w:w="1559" w:type="dxa"/>
            <w:vMerge/>
          </w:tcPr>
          <w:p w:rsidR="009C22E5" w:rsidRPr="001F38E2" w:rsidRDefault="009C22E5" w:rsidP="00416A0F">
            <w:pPr>
              <w:rPr>
                <w:rFonts w:cs="Arial"/>
                <w:b/>
              </w:rPr>
            </w:pPr>
          </w:p>
        </w:tc>
        <w:tc>
          <w:tcPr>
            <w:tcW w:w="1418" w:type="dxa"/>
            <w:tcBorders>
              <w:top w:val="single" w:sz="4" w:space="0" w:color="auto"/>
              <w:bottom w:val="single" w:sz="4" w:space="0" w:color="auto"/>
              <w:right w:val="single" w:sz="4" w:space="0" w:color="auto"/>
            </w:tcBorders>
          </w:tcPr>
          <w:p w:rsidR="009C22E5" w:rsidRPr="009C22E5" w:rsidRDefault="009C22E5" w:rsidP="00416A0F">
            <w:pPr>
              <w:rPr>
                <w:rFonts w:cs="Arial"/>
              </w:rPr>
            </w:pPr>
            <w:r>
              <w:rPr>
                <w:rFonts w:cs="Arial"/>
              </w:rPr>
              <w:t>Dec 2016</w:t>
            </w:r>
          </w:p>
        </w:tc>
      </w:tr>
      <w:tr w:rsidR="009C22E5" w:rsidRPr="00AC577F" w:rsidTr="00791B0C">
        <w:tc>
          <w:tcPr>
            <w:tcW w:w="4253" w:type="dxa"/>
            <w:gridSpan w:val="4"/>
            <w:tcBorders>
              <w:top w:val="single" w:sz="4" w:space="0" w:color="auto"/>
              <w:left w:val="single" w:sz="4" w:space="0" w:color="auto"/>
              <w:bottom w:val="single" w:sz="4" w:space="0" w:color="auto"/>
              <w:right w:val="single" w:sz="4" w:space="0" w:color="auto"/>
            </w:tcBorders>
            <w:shd w:val="clear" w:color="auto" w:fill="auto"/>
          </w:tcPr>
          <w:p w:rsidR="009C22E5" w:rsidRPr="00AC577F" w:rsidRDefault="009C22E5" w:rsidP="00416A0F">
            <w:pPr>
              <w:rPr>
                <w:rFonts w:cs="Arial"/>
              </w:rPr>
            </w:pPr>
            <w:r>
              <w:rPr>
                <w:rFonts w:cs="Arial"/>
              </w:rPr>
              <w:t>13.</w:t>
            </w:r>
            <w:r w:rsidRPr="00CD5F42">
              <w:rPr>
                <w:rFonts w:cs="Arial"/>
              </w:rPr>
              <w:t xml:space="preserve"> That the Council should continue to look for further opportunities to use IT to reduce the transactional costs of service delivery, whilst continuing to ensure that services are accessible to all customer groups.  </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9C22E5" w:rsidRPr="00AC577F" w:rsidRDefault="009C22E5" w:rsidP="00416A0F">
            <w:pPr>
              <w:rPr>
                <w:rFonts w:cs="Arial"/>
              </w:rPr>
            </w:pPr>
            <w:r>
              <w:rPr>
                <w:rFonts w:cs="Arial"/>
              </w:rPr>
              <w:t>Y</w:t>
            </w:r>
          </w:p>
        </w:tc>
        <w:tc>
          <w:tcPr>
            <w:tcW w:w="5528" w:type="dxa"/>
            <w:gridSpan w:val="7"/>
            <w:tcBorders>
              <w:top w:val="single" w:sz="4" w:space="0" w:color="auto"/>
              <w:left w:val="single" w:sz="4" w:space="0" w:color="auto"/>
              <w:bottom w:val="single" w:sz="4" w:space="0" w:color="auto"/>
            </w:tcBorders>
            <w:shd w:val="clear" w:color="auto" w:fill="auto"/>
          </w:tcPr>
          <w:p w:rsidR="009C22E5" w:rsidRPr="00AC577F" w:rsidRDefault="009C22E5" w:rsidP="00416A0F">
            <w:pPr>
              <w:rPr>
                <w:rFonts w:cs="Arial"/>
              </w:rPr>
            </w:pPr>
            <w:r w:rsidRPr="001F38E2">
              <w:rPr>
                <w:rFonts w:cs="Arial"/>
                <w:b/>
              </w:rPr>
              <w:t>Agreed.</w:t>
            </w:r>
            <w:r>
              <w:rPr>
                <w:rFonts w:cs="Arial"/>
              </w:rPr>
              <w:t xml:space="preserve"> There is a detailed and comprehensive ICT </w:t>
            </w:r>
            <w:proofErr w:type="spellStart"/>
            <w:r>
              <w:rPr>
                <w:rFonts w:cs="Arial"/>
              </w:rPr>
              <w:t>workplan</w:t>
            </w:r>
            <w:proofErr w:type="spellEnd"/>
            <w:r>
              <w:rPr>
                <w:rFonts w:cs="Arial"/>
              </w:rPr>
              <w:t xml:space="preserve"> over the next few years which include replacement and upgrading of many key systems.  Additionally there are a number of work streams such as the roll out of the tenants’ portal, filing of electronic planning applications and e-benefit claims which are all aimed at increasing efficiency and reducing transactional costs.</w:t>
            </w:r>
          </w:p>
        </w:tc>
        <w:tc>
          <w:tcPr>
            <w:tcW w:w="1559" w:type="dxa"/>
            <w:vMerge/>
          </w:tcPr>
          <w:p w:rsidR="009C22E5" w:rsidRPr="001F38E2" w:rsidRDefault="009C22E5" w:rsidP="00416A0F">
            <w:pPr>
              <w:rPr>
                <w:rFonts w:cs="Arial"/>
                <w:b/>
              </w:rPr>
            </w:pPr>
          </w:p>
        </w:tc>
        <w:tc>
          <w:tcPr>
            <w:tcW w:w="1418" w:type="dxa"/>
            <w:tcBorders>
              <w:top w:val="single" w:sz="4" w:space="0" w:color="auto"/>
              <w:bottom w:val="single" w:sz="4" w:space="0" w:color="auto"/>
              <w:right w:val="single" w:sz="4" w:space="0" w:color="auto"/>
            </w:tcBorders>
          </w:tcPr>
          <w:p w:rsidR="009C22E5" w:rsidRPr="009C22E5" w:rsidRDefault="009C22E5" w:rsidP="00416A0F">
            <w:pPr>
              <w:rPr>
                <w:rFonts w:cs="Arial"/>
              </w:rPr>
            </w:pPr>
            <w:r>
              <w:rPr>
                <w:rFonts w:cs="Arial"/>
              </w:rPr>
              <w:t>Dec 2016</w:t>
            </w:r>
          </w:p>
        </w:tc>
      </w:tr>
      <w:tr w:rsidR="009C22E5" w:rsidRPr="00AC577F" w:rsidTr="00791B0C">
        <w:tc>
          <w:tcPr>
            <w:tcW w:w="4253" w:type="dxa"/>
            <w:gridSpan w:val="4"/>
            <w:tcBorders>
              <w:top w:val="single" w:sz="4" w:space="0" w:color="auto"/>
              <w:left w:val="single" w:sz="4" w:space="0" w:color="auto"/>
              <w:bottom w:val="single" w:sz="4" w:space="0" w:color="auto"/>
              <w:right w:val="single" w:sz="4" w:space="0" w:color="auto"/>
            </w:tcBorders>
            <w:shd w:val="clear" w:color="auto" w:fill="auto"/>
          </w:tcPr>
          <w:p w:rsidR="009C22E5" w:rsidRPr="00AC577F" w:rsidRDefault="009C22E5" w:rsidP="00416A0F">
            <w:pPr>
              <w:rPr>
                <w:rFonts w:cs="Arial"/>
              </w:rPr>
            </w:pPr>
            <w:r>
              <w:rPr>
                <w:rFonts w:cs="Arial"/>
              </w:rPr>
              <w:t>14.</w:t>
            </w:r>
            <w:r w:rsidRPr="00CD5F42">
              <w:rPr>
                <w:rFonts w:cs="Arial"/>
              </w:rPr>
              <w:t xml:space="preserve"> That Council Officers should be encouraged to look again at what potential there is to develop new invest to save initiatives.</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9C22E5" w:rsidRPr="00AC577F" w:rsidRDefault="009C22E5" w:rsidP="00416A0F">
            <w:pPr>
              <w:rPr>
                <w:rFonts w:cs="Arial"/>
              </w:rPr>
            </w:pPr>
            <w:r>
              <w:rPr>
                <w:rFonts w:cs="Arial"/>
              </w:rPr>
              <w:t>Y</w:t>
            </w:r>
          </w:p>
        </w:tc>
        <w:tc>
          <w:tcPr>
            <w:tcW w:w="5528" w:type="dxa"/>
            <w:gridSpan w:val="7"/>
            <w:tcBorders>
              <w:top w:val="single" w:sz="4" w:space="0" w:color="auto"/>
              <w:left w:val="single" w:sz="4" w:space="0" w:color="auto"/>
              <w:bottom w:val="single" w:sz="4" w:space="0" w:color="auto"/>
            </w:tcBorders>
            <w:shd w:val="clear" w:color="auto" w:fill="auto"/>
          </w:tcPr>
          <w:p w:rsidR="009C22E5" w:rsidRPr="00AC577F" w:rsidRDefault="009C22E5" w:rsidP="00416A0F">
            <w:pPr>
              <w:rPr>
                <w:rFonts w:cs="Arial"/>
              </w:rPr>
            </w:pPr>
            <w:r w:rsidRPr="001F38E2">
              <w:rPr>
                <w:rFonts w:cs="Arial"/>
                <w:b/>
              </w:rPr>
              <w:t>Agreed.</w:t>
            </w:r>
            <w:r>
              <w:rPr>
                <w:rFonts w:cs="Arial"/>
              </w:rPr>
              <w:t xml:space="preserve"> There are a number of good examples of invest to save initiatives which have been implemented such as ICT rationalisation, heavy goods vehicle testing, bin washing service, </w:t>
            </w:r>
            <w:r>
              <w:rPr>
                <w:rFonts w:cs="Arial"/>
              </w:rPr>
              <w:lastRenderedPageBreak/>
              <w:t xml:space="preserve">employment of court officer, </w:t>
            </w:r>
            <w:proofErr w:type="spellStart"/>
            <w:r>
              <w:rPr>
                <w:rFonts w:cs="Arial"/>
              </w:rPr>
              <w:t>Seacourt</w:t>
            </w:r>
            <w:proofErr w:type="spellEnd"/>
            <w:r>
              <w:rPr>
                <w:rFonts w:cs="Arial"/>
              </w:rPr>
              <w:t xml:space="preserve"> park and ride extension and a number of other ICT related projects in the benefit service, council tax and business rates. Officers will continue to look for these initiatives.</w:t>
            </w:r>
          </w:p>
        </w:tc>
        <w:tc>
          <w:tcPr>
            <w:tcW w:w="1559" w:type="dxa"/>
            <w:vMerge/>
          </w:tcPr>
          <w:p w:rsidR="009C22E5" w:rsidRPr="001F38E2" w:rsidRDefault="009C22E5" w:rsidP="00416A0F">
            <w:pPr>
              <w:rPr>
                <w:rFonts w:cs="Arial"/>
                <w:b/>
              </w:rPr>
            </w:pPr>
          </w:p>
        </w:tc>
        <w:tc>
          <w:tcPr>
            <w:tcW w:w="1418" w:type="dxa"/>
            <w:tcBorders>
              <w:top w:val="single" w:sz="4" w:space="0" w:color="auto"/>
              <w:bottom w:val="single" w:sz="4" w:space="0" w:color="auto"/>
              <w:right w:val="single" w:sz="4" w:space="0" w:color="auto"/>
            </w:tcBorders>
          </w:tcPr>
          <w:p w:rsidR="009C22E5" w:rsidRPr="009C22E5" w:rsidRDefault="009C22E5" w:rsidP="00416A0F">
            <w:pPr>
              <w:rPr>
                <w:rFonts w:cs="Arial"/>
              </w:rPr>
            </w:pPr>
            <w:r>
              <w:rPr>
                <w:rFonts w:cs="Arial"/>
              </w:rPr>
              <w:t>Dec 2016</w:t>
            </w:r>
          </w:p>
        </w:tc>
      </w:tr>
      <w:tr w:rsidR="009C22E5" w:rsidRPr="00AC577F" w:rsidTr="00791B0C">
        <w:tc>
          <w:tcPr>
            <w:tcW w:w="4253" w:type="dxa"/>
            <w:gridSpan w:val="4"/>
            <w:tcBorders>
              <w:top w:val="single" w:sz="4" w:space="0" w:color="auto"/>
              <w:left w:val="single" w:sz="4" w:space="0" w:color="auto"/>
              <w:bottom w:val="single" w:sz="4" w:space="0" w:color="auto"/>
              <w:right w:val="single" w:sz="4" w:space="0" w:color="auto"/>
            </w:tcBorders>
            <w:shd w:val="clear" w:color="auto" w:fill="auto"/>
          </w:tcPr>
          <w:p w:rsidR="009C22E5" w:rsidRPr="00AC577F" w:rsidRDefault="009C22E5" w:rsidP="00416A0F">
            <w:pPr>
              <w:rPr>
                <w:rFonts w:cs="Arial"/>
              </w:rPr>
            </w:pPr>
            <w:r w:rsidRPr="00CD5F42">
              <w:rPr>
                <w:rFonts w:cs="Arial"/>
              </w:rPr>
              <w:lastRenderedPageBreak/>
              <w:t>15</w:t>
            </w:r>
            <w:r>
              <w:rPr>
                <w:rFonts w:cs="Arial"/>
              </w:rPr>
              <w:t>.</w:t>
            </w:r>
            <w:r w:rsidRPr="00CD5F42">
              <w:rPr>
                <w:rFonts w:cs="Arial"/>
              </w:rPr>
              <w:t xml:space="preserve"> That the Council should look to maximise revenues from the planned new waste transfer station, both by opening up the facility to others and by the local reuse of materials, if such outlets exist.</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9C22E5" w:rsidRPr="00AC577F" w:rsidRDefault="009C22E5" w:rsidP="00416A0F">
            <w:pPr>
              <w:rPr>
                <w:rFonts w:cs="Arial"/>
              </w:rPr>
            </w:pPr>
            <w:r>
              <w:rPr>
                <w:rFonts w:cs="Arial"/>
              </w:rPr>
              <w:t>Y</w:t>
            </w:r>
          </w:p>
        </w:tc>
        <w:tc>
          <w:tcPr>
            <w:tcW w:w="5528" w:type="dxa"/>
            <w:gridSpan w:val="7"/>
            <w:tcBorders>
              <w:top w:val="single" w:sz="4" w:space="0" w:color="auto"/>
              <w:left w:val="single" w:sz="4" w:space="0" w:color="auto"/>
              <w:bottom w:val="single" w:sz="4" w:space="0" w:color="auto"/>
            </w:tcBorders>
            <w:shd w:val="clear" w:color="auto" w:fill="auto"/>
          </w:tcPr>
          <w:p w:rsidR="009C22E5" w:rsidRPr="001B51A4" w:rsidRDefault="009C22E5" w:rsidP="00416A0F">
            <w:pPr>
              <w:rPr>
                <w:rFonts w:cs="Arial"/>
                <w:b/>
              </w:rPr>
            </w:pPr>
            <w:r>
              <w:rPr>
                <w:b/>
                <w:bCs/>
              </w:rPr>
              <w:t xml:space="preserve">Agreed. </w:t>
            </w:r>
            <w:r w:rsidRPr="001B51A4">
              <w:rPr>
                <w:bCs/>
              </w:rPr>
              <w:t>The Council will look to examine all opportunities which generate additional income in the business case that will be presented to City Executive Board</w:t>
            </w:r>
            <w:r>
              <w:rPr>
                <w:bCs/>
              </w:rPr>
              <w:t>.</w:t>
            </w:r>
          </w:p>
        </w:tc>
        <w:tc>
          <w:tcPr>
            <w:tcW w:w="1559" w:type="dxa"/>
            <w:vMerge/>
          </w:tcPr>
          <w:p w:rsidR="009C22E5" w:rsidRDefault="009C22E5" w:rsidP="00416A0F">
            <w:pPr>
              <w:rPr>
                <w:b/>
                <w:bCs/>
              </w:rPr>
            </w:pPr>
          </w:p>
        </w:tc>
        <w:tc>
          <w:tcPr>
            <w:tcW w:w="1418" w:type="dxa"/>
            <w:tcBorders>
              <w:top w:val="single" w:sz="4" w:space="0" w:color="auto"/>
              <w:bottom w:val="single" w:sz="4" w:space="0" w:color="auto"/>
              <w:right w:val="single" w:sz="4" w:space="0" w:color="auto"/>
            </w:tcBorders>
          </w:tcPr>
          <w:p w:rsidR="009C22E5" w:rsidRPr="009C22E5" w:rsidRDefault="009C22E5" w:rsidP="00416A0F">
            <w:pPr>
              <w:rPr>
                <w:bCs/>
              </w:rPr>
            </w:pPr>
            <w:r>
              <w:rPr>
                <w:bCs/>
              </w:rPr>
              <w:t>Dec 2016</w:t>
            </w:r>
          </w:p>
        </w:tc>
      </w:tr>
      <w:tr w:rsidR="009C22E5" w:rsidRPr="00AC577F" w:rsidTr="00791B0C">
        <w:tc>
          <w:tcPr>
            <w:tcW w:w="4253" w:type="dxa"/>
            <w:gridSpan w:val="4"/>
            <w:tcBorders>
              <w:top w:val="single" w:sz="4" w:space="0" w:color="auto"/>
              <w:left w:val="single" w:sz="4" w:space="0" w:color="auto"/>
              <w:bottom w:val="single" w:sz="4" w:space="0" w:color="auto"/>
              <w:right w:val="single" w:sz="4" w:space="0" w:color="auto"/>
            </w:tcBorders>
            <w:shd w:val="clear" w:color="auto" w:fill="auto"/>
          </w:tcPr>
          <w:p w:rsidR="009C22E5" w:rsidRPr="00AC577F" w:rsidRDefault="009C22E5" w:rsidP="00416A0F">
            <w:pPr>
              <w:rPr>
                <w:rFonts w:cs="Arial"/>
              </w:rPr>
            </w:pPr>
            <w:r w:rsidRPr="00CD5F42">
              <w:rPr>
                <w:rFonts w:cs="Arial"/>
              </w:rPr>
              <w:t>16</w:t>
            </w:r>
            <w:r>
              <w:rPr>
                <w:rFonts w:cs="Arial"/>
              </w:rPr>
              <w:t>.</w:t>
            </w:r>
            <w:r w:rsidRPr="00CD5F42">
              <w:rPr>
                <w:rFonts w:cs="Arial"/>
              </w:rPr>
              <w:t xml:space="preserve"> That given the pressures on homelessness and the risks around County Council cuts, it would be prudent to redirect £200k of revenue contributions to capital and instead use this to top up the homelessness reserve, which is expected to be reduced from £1m to £800k.</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9C22E5" w:rsidRPr="00AC577F" w:rsidRDefault="009C22E5" w:rsidP="00416A0F">
            <w:pPr>
              <w:rPr>
                <w:rFonts w:cs="Arial"/>
              </w:rPr>
            </w:pPr>
            <w:r>
              <w:rPr>
                <w:rFonts w:cs="Arial"/>
              </w:rPr>
              <w:t>N</w:t>
            </w:r>
          </w:p>
        </w:tc>
        <w:tc>
          <w:tcPr>
            <w:tcW w:w="5528" w:type="dxa"/>
            <w:gridSpan w:val="7"/>
            <w:tcBorders>
              <w:top w:val="single" w:sz="4" w:space="0" w:color="auto"/>
              <w:left w:val="single" w:sz="4" w:space="0" w:color="auto"/>
              <w:bottom w:val="single" w:sz="4" w:space="0" w:color="auto"/>
            </w:tcBorders>
            <w:shd w:val="clear" w:color="auto" w:fill="auto"/>
          </w:tcPr>
          <w:p w:rsidR="009C22E5" w:rsidRPr="00AC577F" w:rsidRDefault="009C22E5" w:rsidP="00416A0F">
            <w:pPr>
              <w:rPr>
                <w:rFonts w:cs="Arial"/>
              </w:rPr>
            </w:pPr>
            <w:r w:rsidRPr="001B51A4">
              <w:rPr>
                <w:rFonts w:cs="Arial"/>
                <w:b/>
              </w:rPr>
              <w:t>Not Agreed</w:t>
            </w:r>
            <w:r>
              <w:rPr>
                <w:rFonts w:cs="Arial"/>
              </w:rPr>
              <w:t xml:space="preserve">. Redirecting £200k of capital contributions to top up the homelessness reserve in the manner suggested would only leave a shortfall in the funding of the capital programme and is not recommended. The Council has increased the revenue budget by £200k per annum and recently used £5 million of its capital funds which is match funded to provide an additional 50 homes for homeless families. The Council will continue to review the level of reserves that are required for homelessness support. </w:t>
            </w:r>
          </w:p>
        </w:tc>
        <w:tc>
          <w:tcPr>
            <w:tcW w:w="1559" w:type="dxa"/>
            <w:vMerge/>
          </w:tcPr>
          <w:p w:rsidR="009C22E5" w:rsidRPr="001B51A4" w:rsidRDefault="009C22E5" w:rsidP="00416A0F">
            <w:pPr>
              <w:rPr>
                <w:rFonts w:cs="Arial"/>
                <w:b/>
              </w:rPr>
            </w:pPr>
          </w:p>
        </w:tc>
        <w:tc>
          <w:tcPr>
            <w:tcW w:w="1418" w:type="dxa"/>
            <w:tcBorders>
              <w:top w:val="single" w:sz="4" w:space="0" w:color="auto"/>
              <w:bottom w:val="single" w:sz="4" w:space="0" w:color="auto"/>
              <w:right w:val="single" w:sz="4" w:space="0" w:color="auto"/>
            </w:tcBorders>
          </w:tcPr>
          <w:p w:rsidR="009C22E5" w:rsidRPr="009C22E5" w:rsidRDefault="009C22E5" w:rsidP="00416A0F">
            <w:pPr>
              <w:rPr>
                <w:rFonts w:cs="Arial"/>
              </w:rPr>
            </w:pPr>
            <w:r>
              <w:rPr>
                <w:rFonts w:cs="Arial"/>
              </w:rPr>
              <w:t>N/A</w:t>
            </w:r>
          </w:p>
        </w:tc>
      </w:tr>
      <w:tr w:rsidR="009C22E5" w:rsidRPr="00AC577F" w:rsidTr="00791B0C">
        <w:tc>
          <w:tcPr>
            <w:tcW w:w="4253" w:type="dxa"/>
            <w:gridSpan w:val="4"/>
            <w:tcBorders>
              <w:top w:val="single" w:sz="4" w:space="0" w:color="auto"/>
              <w:left w:val="single" w:sz="4" w:space="0" w:color="auto"/>
              <w:bottom w:val="single" w:sz="4" w:space="0" w:color="auto"/>
              <w:right w:val="single" w:sz="4" w:space="0" w:color="auto"/>
            </w:tcBorders>
            <w:shd w:val="clear" w:color="auto" w:fill="auto"/>
          </w:tcPr>
          <w:p w:rsidR="009C22E5" w:rsidRPr="00AC577F" w:rsidRDefault="009C22E5" w:rsidP="00416A0F">
            <w:pPr>
              <w:rPr>
                <w:rFonts w:cs="Arial"/>
              </w:rPr>
            </w:pPr>
            <w:r w:rsidRPr="00CD5F42">
              <w:rPr>
                <w:rFonts w:cs="Arial"/>
              </w:rPr>
              <w:t>17</w:t>
            </w:r>
            <w:r>
              <w:rPr>
                <w:rFonts w:cs="Arial"/>
              </w:rPr>
              <w:t>.</w:t>
            </w:r>
            <w:r w:rsidRPr="00CD5F42">
              <w:rPr>
                <w:rFonts w:cs="Arial"/>
              </w:rPr>
              <w:t xml:space="preserve"> That the Council’s reserves and balances should continue to be reviewed at appropriate intervals with a view to investing any suitable funds, such as those held against a risk or item of expenditure occurring in a future year.</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9C22E5" w:rsidRPr="00AC577F" w:rsidRDefault="009C22E5" w:rsidP="00416A0F">
            <w:pPr>
              <w:rPr>
                <w:rFonts w:cs="Arial"/>
              </w:rPr>
            </w:pPr>
            <w:r>
              <w:rPr>
                <w:rFonts w:cs="Arial"/>
              </w:rPr>
              <w:t>Y</w:t>
            </w:r>
          </w:p>
        </w:tc>
        <w:tc>
          <w:tcPr>
            <w:tcW w:w="5528" w:type="dxa"/>
            <w:gridSpan w:val="7"/>
            <w:tcBorders>
              <w:top w:val="single" w:sz="4" w:space="0" w:color="auto"/>
              <w:left w:val="single" w:sz="4" w:space="0" w:color="auto"/>
              <w:bottom w:val="single" w:sz="4" w:space="0" w:color="auto"/>
            </w:tcBorders>
            <w:shd w:val="clear" w:color="auto" w:fill="auto"/>
          </w:tcPr>
          <w:p w:rsidR="009C22E5" w:rsidRPr="00AC577F" w:rsidRDefault="009C22E5" w:rsidP="00416A0F">
            <w:pPr>
              <w:rPr>
                <w:rFonts w:cs="Arial"/>
              </w:rPr>
            </w:pPr>
            <w:r w:rsidRPr="0031061D">
              <w:rPr>
                <w:rFonts w:cs="Arial"/>
                <w:b/>
              </w:rPr>
              <w:t>Agreed.</w:t>
            </w:r>
            <w:r>
              <w:rPr>
                <w:rFonts w:cs="Arial"/>
              </w:rPr>
              <w:t xml:space="preserve"> As part of the budget setting process reserves and balances are reviewed annually and the Councils Section 151 has a statutory duty to report to Council for Members to consider them alongside the Budget. Pending their use reserves and balances are either invested in banks, building societies or longer term higher interest instruments such as property funds or used to mitigate the need to externally borrow to fund capital schemes, hence lowering the cost to the council. </w:t>
            </w:r>
          </w:p>
        </w:tc>
        <w:tc>
          <w:tcPr>
            <w:tcW w:w="1559" w:type="dxa"/>
            <w:vMerge/>
          </w:tcPr>
          <w:p w:rsidR="009C22E5" w:rsidRPr="0031061D" w:rsidRDefault="009C22E5" w:rsidP="00416A0F">
            <w:pPr>
              <w:rPr>
                <w:rFonts w:cs="Arial"/>
                <w:b/>
              </w:rPr>
            </w:pPr>
          </w:p>
        </w:tc>
        <w:tc>
          <w:tcPr>
            <w:tcW w:w="1418" w:type="dxa"/>
            <w:tcBorders>
              <w:top w:val="single" w:sz="4" w:space="0" w:color="auto"/>
              <w:bottom w:val="single" w:sz="4" w:space="0" w:color="auto"/>
              <w:right w:val="single" w:sz="4" w:space="0" w:color="auto"/>
            </w:tcBorders>
          </w:tcPr>
          <w:p w:rsidR="009C22E5" w:rsidRPr="009C22E5" w:rsidRDefault="009C22E5" w:rsidP="00416A0F">
            <w:pPr>
              <w:rPr>
                <w:rFonts w:cs="Arial"/>
              </w:rPr>
            </w:pPr>
            <w:r>
              <w:rPr>
                <w:rFonts w:cs="Arial"/>
              </w:rPr>
              <w:t>Y</w:t>
            </w:r>
          </w:p>
        </w:tc>
      </w:tr>
      <w:tr w:rsidR="009C22E5" w:rsidRPr="00AC577F" w:rsidTr="00791B0C">
        <w:tc>
          <w:tcPr>
            <w:tcW w:w="4253" w:type="dxa"/>
            <w:gridSpan w:val="4"/>
            <w:tcBorders>
              <w:top w:val="single" w:sz="4" w:space="0" w:color="auto"/>
              <w:left w:val="single" w:sz="4" w:space="0" w:color="auto"/>
              <w:bottom w:val="single" w:sz="4" w:space="0" w:color="auto"/>
              <w:right w:val="single" w:sz="4" w:space="0" w:color="auto"/>
            </w:tcBorders>
            <w:shd w:val="clear" w:color="auto" w:fill="auto"/>
          </w:tcPr>
          <w:p w:rsidR="009C22E5" w:rsidRPr="00AC577F" w:rsidRDefault="009C22E5" w:rsidP="00416A0F">
            <w:pPr>
              <w:rPr>
                <w:rFonts w:cs="Arial"/>
              </w:rPr>
            </w:pPr>
            <w:r w:rsidRPr="00CD5F42">
              <w:rPr>
                <w:rFonts w:cs="Arial"/>
              </w:rPr>
              <w:lastRenderedPageBreak/>
              <w:t>18</w:t>
            </w:r>
            <w:r>
              <w:rPr>
                <w:rFonts w:cs="Arial"/>
              </w:rPr>
              <w:t>.</w:t>
            </w:r>
            <w:r w:rsidRPr="00CD5F42">
              <w:rPr>
                <w:rFonts w:cs="Arial"/>
              </w:rPr>
              <w:t xml:space="preserve"> That the Capital Programme and capital scheme reserve list should be revised in light of recent capital movements, grant income and the need to re-profile some schemes.</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9C22E5" w:rsidRPr="00AC577F" w:rsidRDefault="009C22E5" w:rsidP="00416A0F">
            <w:pPr>
              <w:rPr>
                <w:rFonts w:cs="Arial"/>
              </w:rPr>
            </w:pPr>
            <w:r>
              <w:rPr>
                <w:rFonts w:cs="Arial"/>
              </w:rPr>
              <w:t>Y</w:t>
            </w:r>
          </w:p>
        </w:tc>
        <w:tc>
          <w:tcPr>
            <w:tcW w:w="5528" w:type="dxa"/>
            <w:gridSpan w:val="7"/>
            <w:tcBorders>
              <w:top w:val="single" w:sz="4" w:space="0" w:color="auto"/>
              <w:left w:val="single" w:sz="4" w:space="0" w:color="auto"/>
              <w:bottom w:val="single" w:sz="4" w:space="0" w:color="auto"/>
            </w:tcBorders>
            <w:shd w:val="clear" w:color="auto" w:fill="auto"/>
          </w:tcPr>
          <w:p w:rsidR="009C22E5" w:rsidRPr="00AC577F" w:rsidRDefault="009C22E5" w:rsidP="00416A0F">
            <w:pPr>
              <w:rPr>
                <w:rFonts w:cs="Arial"/>
              </w:rPr>
            </w:pPr>
            <w:r w:rsidRPr="0031061D">
              <w:rPr>
                <w:rFonts w:cs="Arial"/>
                <w:b/>
              </w:rPr>
              <w:t>Agreed</w:t>
            </w:r>
            <w:r>
              <w:rPr>
                <w:rFonts w:cs="Arial"/>
              </w:rPr>
              <w:t>. This has been done and all of the schemes previously on the reserve list have now been funded by the estimated additional resources.</w:t>
            </w:r>
          </w:p>
        </w:tc>
        <w:tc>
          <w:tcPr>
            <w:tcW w:w="1559" w:type="dxa"/>
            <w:vMerge/>
          </w:tcPr>
          <w:p w:rsidR="009C22E5" w:rsidRPr="0031061D" w:rsidRDefault="009C22E5" w:rsidP="00416A0F">
            <w:pPr>
              <w:rPr>
                <w:rFonts w:cs="Arial"/>
                <w:b/>
              </w:rPr>
            </w:pPr>
          </w:p>
        </w:tc>
        <w:tc>
          <w:tcPr>
            <w:tcW w:w="1418" w:type="dxa"/>
            <w:tcBorders>
              <w:top w:val="single" w:sz="4" w:space="0" w:color="auto"/>
              <w:bottom w:val="single" w:sz="4" w:space="0" w:color="auto"/>
              <w:right w:val="single" w:sz="4" w:space="0" w:color="auto"/>
            </w:tcBorders>
          </w:tcPr>
          <w:p w:rsidR="009C22E5" w:rsidRPr="009C22E5" w:rsidRDefault="009C22E5" w:rsidP="00416A0F">
            <w:pPr>
              <w:rPr>
                <w:rFonts w:cs="Arial"/>
              </w:rPr>
            </w:pPr>
            <w:r>
              <w:rPr>
                <w:rFonts w:cs="Arial"/>
              </w:rPr>
              <w:t>Y</w:t>
            </w:r>
          </w:p>
        </w:tc>
      </w:tr>
      <w:tr w:rsidR="009C22E5" w:rsidRPr="00AC577F" w:rsidTr="00791B0C">
        <w:tc>
          <w:tcPr>
            <w:tcW w:w="4253" w:type="dxa"/>
            <w:gridSpan w:val="4"/>
            <w:tcBorders>
              <w:top w:val="single" w:sz="4" w:space="0" w:color="auto"/>
              <w:left w:val="single" w:sz="4" w:space="0" w:color="auto"/>
              <w:bottom w:val="single" w:sz="4" w:space="0" w:color="auto"/>
              <w:right w:val="single" w:sz="4" w:space="0" w:color="auto"/>
            </w:tcBorders>
            <w:shd w:val="clear" w:color="auto" w:fill="auto"/>
          </w:tcPr>
          <w:p w:rsidR="009C22E5" w:rsidRPr="00AC577F" w:rsidRDefault="009C22E5" w:rsidP="00416A0F">
            <w:pPr>
              <w:rPr>
                <w:rFonts w:cs="Arial"/>
              </w:rPr>
            </w:pPr>
            <w:r>
              <w:rPr>
                <w:rFonts w:cs="Arial"/>
              </w:rPr>
              <w:t>19.</w:t>
            </w:r>
            <w:r w:rsidRPr="00CD5F42">
              <w:rPr>
                <w:rFonts w:cs="Arial"/>
              </w:rPr>
              <w:t xml:space="preserve"> That the Council should seek to contract large capital schemes as soon as possible to minimise price inflation and uncertainty, and consider the case for taking a more programme-based approach to contracting capital works.</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9C22E5" w:rsidRPr="00AC577F" w:rsidRDefault="009C22E5" w:rsidP="00416A0F">
            <w:pPr>
              <w:rPr>
                <w:rFonts w:cs="Arial"/>
              </w:rPr>
            </w:pPr>
            <w:r>
              <w:rPr>
                <w:rFonts w:cs="Arial"/>
              </w:rPr>
              <w:t>N</w:t>
            </w:r>
          </w:p>
        </w:tc>
        <w:tc>
          <w:tcPr>
            <w:tcW w:w="5528" w:type="dxa"/>
            <w:gridSpan w:val="7"/>
            <w:tcBorders>
              <w:top w:val="single" w:sz="4" w:space="0" w:color="auto"/>
              <w:left w:val="single" w:sz="4" w:space="0" w:color="auto"/>
              <w:bottom w:val="single" w:sz="4" w:space="0" w:color="auto"/>
            </w:tcBorders>
            <w:shd w:val="clear" w:color="auto" w:fill="auto"/>
          </w:tcPr>
          <w:p w:rsidR="009C22E5" w:rsidRPr="00AC577F" w:rsidRDefault="009C22E5" w:rsidP="00416A0F">
            <w:pPr>
              <w:rPr>
                <w:rFonts w:cs="Arial"/>
              </w:rPr>
            </w:pPr>
            <w:r w:rsidRPr="001F38E2">
              <w:rPr>
                <w:rFonts w:cs="Arial"/>
                <w:b/>
              </w:rPr>
              <w:t>Not Agreed.</w:t>
            </w:r>
            <w:r>
              <w:rPr>
                <w:rFonts w:cs="Arial"/>
              </w:rPr>
              <w:t xml:space="preserve"> The Council has a significant capital programme over the next four years in excess of £130 million. A large proportion of the Programme is funded by in year revenue and therefore the ability to bring forward schemes whilst mitigating inflation</w:t>
            </w:r>
            <w:r w:rsidRPr="00791B0C">
              <w:rPr>
                <w:rFonts w:cs="Arial"/>
              </w:rPr>
              <w:t>ary pressures would crea</w:t>
            </w:r>
            <w:r w:rsidRPr="00EF46AA">
              <w:rPr>
                <w:rFonts w:cs="Arial"/>
              </w:rPr>
              <w:t>te cash</w:t>
            </w:r>
            <w:r>
              <w:rPr>
                <w:rFonts w:cs="Arial"/>
              </w:rPr>
              <w:t xml:space="preserve"> </w:t>
            </w:r>
            <w:r w:rsidRPr="00EF46AA">
              <w:rPr>
                <w:rFonts w:cs="Arial"/>
              </w:rPr>
              <w:t>flow difficulties.</w:t>
            </w:r>
            <w:r>
              <w:rPr>
                <w:rFonts w:cs="Arial"/>
              </w:rPr>
              <w:t xml:space="preserve"> Schemes do have a contingency built into the budgeted cost and officers review the Capital Programme annually to confirm that the budgeted cost is still sufficient. Where required the Council does make use of external suppliers such as project managers and cost consultants to ensure that projects are delivered on time in accordance with the Programme.  </w:t>
            </w:r>
          </w:p>
        </w:tc>
        <w:tc>
          <w:tcPr>
            <w:tcW w:w="1559" w:type="dxa"/>
            <w:vMerge/>
          </w:tcPr>
          <w:p w:rsidR="009C22E5" w:rsidRPr="001F38E2" w:rsidRDefault="009C22E5" w:rsidP="00416A0F">
            <w:pPr>
              <w:rPr>
                <w:rFonts w:cs="Arial"/>
                <w:b/>
              </w:rPr>
            </w:pPr>
          </w:p>
        </w:tc>
        <w:tc>
          <w:tcPr>
            <w:tcW w:w="1418" w:type="dxa"/>
            <w:tcBorders>
              <w:top w:val="single" w:sz="4" w:space="0" w:color="auto"/>
              <w:bottom w:val="single" w:sz="4" w:space="0" w:color="auto"/>
              <w:right w:val="single" w:sz="4" w:space="0" w:color="auto"/>
            </w:tcBorders>
          </w:tcPr>
          <w:p w:rsidR="009C22E5" w:rsidRPr="009C22E5" w:rsidRDefault="009C22E5" w:rsidP="00416A0F">
            <w:pPr>
              <w:rPr>
                <w:rFonts w:cs="Arial"/>
              </w:rPr>
            </w:pPr>
            <w:r>
              <w:rPr>
                <w:rFonts w:cs="Arial"/>
              </w:rPr>
              <w:t>N/A</w:t>
            </w:r>
          </w:p>
        </w:tc>
      </w:tr>
      <w:tr w:rsidR="009C22E5" w:rsidRPr="00AC577F" w:rsidTr="00791B0C">
        <w:tc>
          <w:tcPr>
            <w:tcW w:w="4253" w:type="dxa"/>
            <w:gridSpan w:val="4"/>
            <w:tcBorders>
              <w:top w:val="single" w:sz="4" w:space="0" w:color="auto"/>
              <w:left w:val="single" w:sz="4" w:space="0" w:color="auto"/>
              <w:bottom w:val="single" w:sz="4" w:space="0" w:color="auto"/>
              <w:right w:val="single" w:sz="4" w:space="0" w:color="auto"/>
            </w:tcBorders>
            <w:shd w:val="clear" w:color="auto" w:fill="auto"/>
          </w:tcPr>
          <w:p w:rsidR="009C22E5" w:rsidRPr="00AC577F" w:rsidRDefault="009C22E5" w:rsidP="00416A0F">
            <w:pPr>
              <w:rPr>
                <w:rFonts w:cs="Arial"/>
              </w:rPr>
            </w:pPr>
            <w:r>
              <w:rPr>
                <w:rFonts w:cs="Arial"/>
              </w:rPr>
              <w:t>20.</w:t>
            </w:r>
            <w:r w:rsidRPr="00CD5F42">
              <w:rPr>
                <w:rFonts w:cs="Arial"/>
              </w:rPr>
              <w:t xml:space="preserve"> That the Council should keep the local impacts of the forced sale of high value council housing (HVCH) policy under review and consider any opportunities or mechanisms to free up funds from the new £20.1m contingency without affecting the Council’s ability to retain HVCH.</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9C22E5" w:rsidRPr="00AC577F" w:rsidRDefault="009C22E5" w:rsidP="00416A0F">
            <w:pPr>
              <w:rPr>
                <w:rFonts w:cs="Arial"/>
              </w:rPr>
            </w:pPr>
            <w:r>
              <w:rPr>
                <w:rFonts w:cs="Arial"/>
              </w:rPr>
              <w:t>Y</w:t>
            </w:r>
          </w:p>
        </w:tc>
        <w:tc>
          <w:tcPr>
            <w:tcW w:w="5528" w:type="dxa"/>
            <w:gridSpan w:val="7"/>
            <w:tcBorders>
              <w:top w:val="single" w:sz="4" w:space="0" w:color="auto"/>
              <w:left w:val="single" w:sz="4" w:space="0" w:color="auto"/>
              <w:bottom w:val="single" w:sz="4" w:space="0" w:color="auto"/>
            </w:tcBorders>
            <w:shd w:val="clear" w:color="auto" w:fill="auto"/>
          </w:tcPr>
          <w:p w:rsidR="009C22E5" w:rsidRPr="00EF4F56" w:rsidRDefault="009C22E5" w:rsidP="00416A0F">
            <w:pPr>
              <w:rPr>
                <w:rFonts w:cs="Arial"/>
              </w:rPr>
            </w:pPr>
            <w:r w:rsidRPr="00EF4F56">
              <w:rPr>
                <w:rFonts w:cs="Arial"/>
                <w:b/>
              </w:rPr>
              <w:t>Agreed</w:t>
            </w:r>
            <w:r>
              <w:rPr>
                <w:rFonts w:cs="Arial"/>
                <w:b/>
              </w:rPr>
              <w:t xml:space="preserve">. </w:t>
            </w:r>
            <w:r>
              <w:rPr>
                <w:rFonts w:cs="Arial"/>
              </w:rPr>
              <w:t>The £20million is a contingency to mitigate the need to sell Council Housing to fund the HVCH levy. The Council will adapt its budget plans as appropriate when the potential cost to the Council is clarified.</w:t>
            </w:r>
          </w:p>
        </w:tc>
        <w:tc>
          <w:tcPr>
            <w:tcW w:w="1559" w:type="dxa"/>
            <w:vMerge/>
          </w:tcPr>
          <w:p w:rsidR="009C22E5" w:rsidRPr="00EF4F56" w:rsidRDefault="009C22E5" w:rsidP="00416A0F">
            <w:pPr>
              <w:rPr>
                <w:rFonts w:cs="Arial"/>
                <w:b/>
              </w:rPr>
            </w:pPr>
          </w:p>
        </w:tc>
        <w:tc>
          <w:tcPr>
            <w:tcW w:w="1418" w:type="dxa"/>
            <w:tcBorders>
              <w:top w:val="single" w:sz="4" w:space="0" w:color="auto"/>
              <w:bottom w:val="single" w:sz="4" w:space="0" w:color="auto"/>
              <w:right w:val="single" w:sz="4" w:space="0" w:color="auto"/>
            </w:tcBorders>
          </w:tcPr>
          <w:p w:rsidR="009C22E5" w:rsidRPr="009C22E5" w:rsidRDefault="00791B0C" w:rsidP="00416A0F">
            <w:pPr>
              <w:rPr>
                <w:rFonts w:cs="Arial"/>
              </w:rPr>
            </w:pPr>
            <w:r>
              <w:rPr>
                <w:rFonts w:cs="Arial"/>
              </w:rPr>
              <w:t>Dec 2016</w:t>
            </w:r>
          </w:p>
        </w:tc>
      </w:tr>
      <w:tr w:rsidR="009C22E5" w:rsidRPr="00AC577F" w:rsidTr="00791B0C">
        <w:tc>
          <w:tcPr>
            <w:tcW w:w="4253" w:type="dxa"/>
            <w:gridSpan w:val="4"/>
            <w:tcBorders>
              <w:top w:val="single" w:sz="4" w:space="0" w:color="auto"/>
              <w:left w:val="single" w:sz="4" w:space="0" w:color="auto"/>
              <w:bottom w:val="single" w:sz="4" w:space="0" w:color="auto"/>
              <w:right w:val="single" w:sz="4" w:space="0" w:color="auto"/>
            </w:tcBorders>
            <w:shd w:val="clear" w:color="auto" w:fill="auto"/>
          </w:tcPr>
          <w:p w:rsidR="009C22E5" w:rsidRPr="00AC577F" w:rsidRDefault="009C22E5" w:rsidP="00416A0F">
            <w:pPr>
              <w:rPr>
                <w:rFonts w:cs="Arial"/>
              </w:rPr>
            </w:pPr>
            <w:r w:rsidRPr="00CD5F42">
              <w:rPr>
                <w:rFonts w:cs="Arial"/>
              </w:rPr>
              <w:t>21</w:t>
            </w:r>
            <w:r>
              <w:rPr>
                <w:rFonts w:cs="Arial"/>
              </w:rPr>
              <w:t>.</w:t>
            </w:r>
            <w:r w:rsidRPr="00CD5F42">
              <w:rPr>
                <w:rFonts w:cs="Arial"/>
              </w:rPr>
              <w:t xml:space="preserve"> That in the light of recent housing policy and budgetary changes, it would be prudent to keep the decision taken last year to defer a £20m debt repayment due in 2021 under review to ensure that it is still in the best long-term interests of the </w:t>
            </w:r>
            <w:r w:rsidRPr="00CD5F42">
              <w:rPr>
                <w:rFonts w:cs="Arial"/>
              </w:rPr>
              <w:lastRenderedPageBreak/>
              <w:t>Council and Council tenants.</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9C22E5" w:rsidRPr="00AC577F" w:rsidRDefault="009C22E5" w:rsidP="00416A0F">
            <w:pPr>
              <w:rPr>
                <w:rFonts w:cs="Arial"/>
              </w:rPr>
            </w:pPr>
            <w:r>
              <w:rPr>
                <w:rFonts w:cs="Arial"/>
              </w:rPr>
              <w:lastRenderedPageBreak/>
              <w:t>Y</w:t>
            </w:r>
          </w:p>
        </w:tc>
        <w:tc>
          <w:tcPr>
            <w:tcW w:w="5528" w:type="dxa"/>
            <w:gridSpan w:val="7"/>
            <w:tcBorders>
              <w:top w:val="single" w:sz="4" w:space="0" w:color="auto"/>
              <w:left w:val="single" w:sz="4" w:space="0" w:color="auto"/>
              <w:bottom w:val="single" w:sz="4" w:space="0" w:color="auto"/>
            </w:tcBorders>
            <w:shd w:val="clear" w:color="auto" w:fill="auto"/>
          </w:tcPr>
          <w:p w:rsidR="009C22E5" w:rsidRDefault="009C22E5" w:rsidP="00416A0F">
            <w:pPr>
              <w:rPr>
                <w:rFonts w:cs="Arial"/>
              </w:rPr>
            </w:pPr>
            <w:r w:rsidRPr="00EF4F56">
              <w:rPr>
                <w:rFonts w:cs="Arial"/>
                <w:b/>
              </w:rPr>
              <w:t>Agreed.</w:t>
            </w:r>
            <w:r>
              <w:rPr>
                <w:rFonts w:cs="Arial"/>
              </w:rPr>
              <w:t xml:space="preserve"> There are still a number of uncertainties around the Housing Agenda which the Government have yet to clarify. As Government policy becomes clearer the Council will look to adapt its Budget Plans and Debt Strategy as appropriate to ensure financial stability of the Housing Revenue Account.  </w:t>
            </w:r>
          </w:p>
          <w:p w:rsidR="009C22E5" w:rsidRPr="00AC577F" w:rsidRDefault="009C22E5" w:rsidP="00416A0F">
            <w:pPr>
              <w:rPr>
                <w:rFonts w:cs="Arial"/>
              </w:rPr>
            </w:pPr>
            <w:r>
              <w:rPr>
                <w:rFonts w:cs="Arial"/>
              </w:rPr>
              <w:lastRenderedPageBreak/>
              <w:t>.</w:t>
            </w:r>
          </w:p>
        </w:tc>
        <w:tc>
          <w:tcPr>
            <w:tcW w:w="1559" w:type="dxa"/>
            <w:vMerge/>
          </w:tcPr>
          <w:p w:rsidR="009C22E5" w:rsidRPr="00EF4F56" w:rsidRDefault="009C22E5" w:rsidP="00416A0F">
            <w:pPr>
              <w:rPr>
                <w:rFonts w:cs="Arial"/>
                <w:b/>
              </w:rPr>
            </w:pPr>
          </w:p>
        </w:tc>
        <w:tc>
          <w:tcPr>
            <w:tcW w:w="1418" w:type="dxa"/>
            <w:tcBorders>
              <w:top w:val="single" w:sz="4" w:space="0" w:color="auto"/>
              <w:bottom w:val="single" w:sz="4" w:space="0" w:color="auto"/>
              <w:right w:val="single" w:sz="4" w:space="0" w:color="auto"/>
            </w:tcBorders>
          </w:tcPr>
          <w:p w:rsidR="009C22E5" w:rsidRPr="009C22E5" w:rsidRDefault="00791B0C" w:rsidP="00416A0F">
            <w:pPr>
              <w:rPr>
                <w:rFonts w:cs="Arial"/>
              </w:rPr>
            </w:pPr>
            <w:r>
              <w:rPr>
                <w:rFonts w:cs="Arial"/>
              </w:rPr>
              <w:t>Dec 2016</w:t>
            </w:r>
          </w:p>
        </w:tc>
      </w:tr>
      <w:tr w:rsidR="009C22E5" w:rsidRPr="00AC577F" w:rsidTr="00791B0C">
        <w:tc>
          <w:tcPr>
            <w:tcW w:w="4253" w:type="dxa"/>
            <w:gridSpan w:val="4"/>
            <w:tcBorders>
              <w:top w:val="single" w:sz="4" w:space="0" w:color="auto"/>
              <w:left w:val="single" w:sz="4" w:space="0" w:color="auto"/>
              <w:bottom w:val="single" w:sz="4" w:space="0" w:color="auto"/>
              <w:right w:val="single" w:sz="4" w:space="0" w:color="auto"/>
            </w:tcBorders>
            <w:shd w:val="clear" w:color="auto" w:fill="auto"/>
          </w:tcPr>
          <w:p w:rsidR="009C22E5" w:rsidRPr="00AC577F" w:rsidRDefault="009C22E5" w:rsidP="00416A0F">
            <w:pPr>
              <w:rPr>
                <w:rFonts w:cs="Arial"/>
              </w:rPr>
            </w:pPr>
            <w:r w:rsidRPr="00CD5F42">
              <w:rPr>
                <w:rFonts w:cs="Arial"/>
              </w:rPr>
              <w:lastRenderedPageBreak/>
              <w:t>22</w:t>
            </w:r>
            <w:r>
              <w:rPr>
                <w:rFonts w:cs="Arial"/>
              </w:rPr>
              <w:t>.</w:t>
            </w:r>
            <w:r w:rsidRPr="00CD5F42">
              <w:rPr>
                <w:rFonts w:cs="Arial"/>
              </w:rPr>
              <w:t xml:space="preserve"> That clarity should be provided on whether the renewable element of the HRA Energy Efficiency programme could be delivered in partnership with the Low Carbon Hub.</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9C22E5" w:rsidRPr="00AC577F" w:rsidRDefault="009C22E5" w:rsidP="00416A0F">
            <w:pPr>
              <w:rPr>
                <w:rFonts w:cs="Arial"/>
              </w:rPr>
            </w:pPr>
            <w:r>
              <w:rPr>
                <w:rFonts w:cs="Arial"/>
              </w:rPr>
              <w:t>Y</w:t>
            </w:r>
          </w:p>
        </w:tc>
        <w:tc>
          <w:tcPr>
            <w:tcW w:w="5528" w:type="dxa"/>
            <w:gridSpan w:val="7"/>
            <w:tcBorders>
              <w:top w:val="single" w:sz="4" w:space="0" w:color="auto"/>
              <w:left w:val="single" w:sz="4" w:space="0" w:color="auto"/>
              <w:bottom w:val="single" w:sz="4" w:space="0" w:color="auto"/>
            </w:tcBorders>
            <w:shd w:val="clear" w:color="auto" w:fill="auto"/>
          </w:tcPr>
          <w:p w:rsidR="009C22E5" w:rsidRDefault="009C22E5" w:rsidP="00416A0F">
            <w:pPr>
              <w:rPr>
                <w:rFonts w:eastAsiaTheme="minorHAnsi" w:cs="Arial"/>
              </w:rPr>
            </w:pPr>
            <w:r w:rsidRPr="001F38E2">
              <w:rPr>
                <w:b/>
                <w:color w:val="000000" w:themeColor="text1"/>
              </w:rPr>
              <w:t>Agreed</w:t>
            </w:r>
            <w:r>
              <w:rPr>
                <w:color w:val="000000" w:themeColor="text1"/>
              </w:rPr>
              <w:t xml:space="preserve">. Further reduction of FIT by the Government makes this increasingly unlikely although we await confirmation from LCH that this is indeed the case.  </w:t>
            </w:r>
          </w:p>
        </w:tc>
        <w:tc>
          <w:tcPr>
            <w:tcW w:w="1559" w:type="dxa"/>
            <w:vMerge/>
          </w:tcPr>
          <w:p w:rsidR="009C22E5" w:rsidRPr="001F38E2" w:rsidRDefault="009C22E5" w:rsidP="00416A0F">
            <w:pPr>
              <w:rPr>
                <w:b/>
                <w:color w:val="000000" w:themeColor="text1"/>
              </w:rPr>
            </w:pPr>
          </w:p>
        </w:tc>
        <w:tc>
          <w:tcPr>
            <w:tcW w:w="1418" w:type="dxa"/>
            <w:tcBorders>
              <w:top w:val="single" w:sz="4" w:space="0" w:color="auto"/>
              <w:bottom w:val="single" w:sz="4" w:space="0" w:color="auto"/>
              <w:right w:val="single" w:sz="4" w:space="0" w:color="auto"/>
            </w:tcBorders>
          </w:tcPr>
          <w:p w:rsidR="009C22E5" w:rsidRPr="009C22E5" w:rsidRDefault="00791B0C" w:rsidP="00416A0F">
            <w:pPr>
              <w:rPr>
                <w:color w:val="000000" w:themeColor="text1"/>
              </w:rPr>
            </w:pPr>
            <w:r>
              <w:rPr>
                <w:color w:val="000000" w:themeColor="text1"/>
              </w:rPr>
              <w:t>Dec 2016</w:t>
            </w:r>
          </w:p>
        </w:tc>
      </w:tr>
      <w:tr w:rsidR="009C22E5" w:rsidRPr="00AC577F" w:rsidTr="00791B0C">
        <w:tc>
          <w:tcPr>
            <w:tcW w:w="4253" w:type="dxa"/>
            <w:gridSpan w:val="4"/>
            <w:tcBorders>
              <w:top w:val="single" w:sz="4" w:space="0" w:color="auto"/>
              <w:left w:val="single" w:sz="4" w:space="0" w:color="auto"/>
              <w:bottom w:val="single" w:sz="4" w:space="0" w:color="auto"/>
              <w:right w:val="single" w:sz="4" w:space="0" w:color="auto"/>
            </w:tcBorders>
            <w:shd w:val="clear" w:color="auto" w:fill="auto"/>
          </w:tcPr>
          <w:p w:rsidR="009C22E5" w:rsidRPr="00AC577F" w:rsidRDefault="009C22E5" w:rsidP="00416A0F">
            <w:pPr>
              <w:rPr>
                <w:rFonts w:cs="Arial"/>
              </w:rPr>
            </w:pPr>
            <w:r>
              <w:rPr>
                <w:rFonts w:cs="Arial"/>
              </w:rPr>
              <w:t>23.</w:t>
            </w:r>
            <w:r w:rsidRPr="00CD5F42">
              <w:rPr>
                <w:rFonts w:cs="Arial"/>
              </w:rPr>
              <w:t xml:space="preserve"> That HRA capital spending on adaptations for the disabled should be reviewed to ensure that best value is being achieved.  An audit should be undertaken and updated regularly of the number of tenants living in adapted properties to ensure that they are used to house people who need them.</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9C22E5" w:rsidRPr="00AC577F" w:rsidRDefault="009C22E5" w:rsidP="00416A0F">
            <w:pPr>
              <w:rPr>
                <w:rFonts w:cs="Arial"/>
              </w:rPr>
            </w:pPr>
            <w:r>
              <w:rPr>
                <w:rFonts w:cs="Arial"/>
              </w:rPr>
              <w:t>Y</w:t>
            </w:r>
          </w:p>
        </w:tc>
        <w:tc>
          <w:tcPr>
            <w:tcW w:w="5528" w:type="dxa"/>
            <w:gridSpan w:val="7"/>
            <w:tcBorders>
              <w:top w:val="single" w:sz="4" w:space="0" w:color="auto"/>
              <w:left w:val="single" w:sz="4" w:space="0" w:color="auto"/>
              <w:bottom w:val="single" w:sz="4" w:space="0" w:color="auto"/>
            </w:tcBorders>
            <w:shd w:val="clear" w:color="auto" w:fill="auto"/>
          </w:tcPr>
          <w:p w:rsidR="009C22E5" w:rsidRDefault="009C22E5" w:rsidP="00416A0F">
            <w:pPr>
              <w:rPr>
                <w:rFonts w:eastAsiaTheme="minorHAnsi" w:cs="Arial"/>
              </w:rPr>
            </w:pPr>
            <w:r w:rsidRPr="001F38E2">
              <w:rPr>
                <w:b/>
                <w:color w:val="000000" w:themeColor="text1"/>
              </w:rPr>
              <w:t>Agreed.</w:t>
            </w:r>
            <w:r>
              <w:rPr>
                <w:color w:val="000000" w:themeColor="text1"/>
              </w:rPr>
              <w:t xml:space="preserve"> This service area was the subject of a review in 2014.The recent older persons housing review due to report to CEB in March confirms the need to maintain budgets to support independent living. The policy relating to the adaptation of properties will be re-examined in 2016/17.</w:t>
            </w:r>
          </w:p>
        </w:tc>
        <w:tc>
          <w:tcPr>
            <w:tcW w:w="1559" w:type="dxa"/>
            <w:vMerge/>
          </w:tcPr>
          <w:p w:rsidR="009C22E5" w:rsidRPr="001F38E2" w:rsidRDefault="009C22E5" w:rsidP="00416A0F">
            <w:pPr>
              <w:rPr>
                <w:b/>
                <w:color w:val="000000" w:themeColor="text1"/>
              </w:rPr>
            </w:pPr>
          </w:p>
        </w:tc>
        <w:tc>
          <w:tcPr>
            <w:tcW w:w="1418" w:type="dxa"/>
            <w:tcBorders>
              <w:top w:val="single" w:sz="4" w:space="0" w:color="auto"/>
              <w:bottom w:val="single" w:sz="4" w:space="0" w:color="auto"/>
              <w:right w:val="single" w:sz="4" w:space="0" w:color="auto"/>
            </w:tcBorders>
          </w:tcPr>
          <w:p w:rsidR="009C22E5" w:rsidRPr="009C22E5" w:rsidRDefault="00791B0C" w:rsidP="00416A0F">
            <w:pPr>
              <w:rPr>
                <w:color w:val="000000" w:themeColor="text1"/>
              </w:rPr>
            </w:pPr>
            <w:r>
              <w:rPr>
                <w:color w:val="000000" w:themeColor="text1"/>
              </w:rPr>
              <w:t>Dec 2016</w:t>
            </w:r>
          </w:p>
        </w:tc>
      </w:tr>
      <w:tr w:rsidR="009C22E5" w:rsidRPr="00AC577F" w:rsidTr="00791B0C">
        <w:tc>
          <w:tcPr>
            <w:tcW w:w="4253" w:type="dxa"/>
            <w:gridSpan w:val="4"/>
            <w:tcBorders>
              <w:top w:val="single" w:sz="4" w:space="0" w:color="auto"/>
              <w:left w:val="single" w:sz="4" w:space="0" w:color="auto"/>
              <w:bottom w:val="single" w:sz="4" w:space="0" w:color="auto"/>
              <w:right w:val="single" w:sz="4" w:space="0" w:color="auto"/>
            </w:tcBorders>
            <w:shd w:val="clear" w:color="auto" w:fill="auto"/>
          </w:tcPr>
          <w:p w:rsidR="009C22E5" w:rsidRPr="00AC577F" w:rsidRDefault="009C22E5" w:rsidP="00416A0F">
            <w:pPr>
              <w:rPr>
                <w:rFonts w:cs="Arial"/>
              </w:rPr>
            </w:pPr>
            <w:r>
              <w:rPr>
                <w:rFonts w:cs="Arial"/>
              </w:rPr>
              <w:t>24.</w:t>
            </w:r>
            <w:r w:rsidRPr="00CD5F42">
              <w:rPr>
                <w:rFonts w:cs="Arial"/>
              </w:rPr>
              <w:t xml:space="preserve"> That ‘sinking funds’ should be instituted into new build leasehold arrangements where appropriate (e.g. blocks of flats) to prevent potentially high bills for leaseholders when these properties require capital works.</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9C22E5" w:rsidRPr="00AC577F" w:rsidRDefault="009C22E5" w:rsidP="00416A0F">
            <w:pPr>
              <w:rPr>
                <w:rFonts w:cs="Arial"/>
              </w:rPr>
            </w:pPr>
            <w:r>
              <w:rPr>
                <w:rFonts w:cs="Arial"/>
              </w:rPr>
              <w:t>Y</w:t>
            </w:r>
          </w:p>
        </w:tc>
        <w:tc>
          <w:tcPr>
            <w:tcW w:w="5528" w:type="dxa"/>
            <w:gridSpan w:val="7"/>
            <w:tcBorders>
              <w:top w:val="single" w:sz="4" w:space="0" w:color="auto"/>
              <w:left w:val="single" w:sz="4" w:space="0" w:color="auto"/>
              <w:bottom w:val="single" w:sz="4" w:space="0" w:color="auto"/>
            </w:tcBorders>
            <w:shd w:val="clear" w:color="auto" w:fill="auto"/>
          </w:tcPr>
          <w:p w:rsidR="009C22E5" w:rsidRDefault="009C22E5" w:rsidP="00416A0F">
            <w:pPr>
              <w:rPr>
                <w:rFonts w:eastAsiaTheme="minorHAnsi" w:cs="Arial"/>
              </w:rPr>
            </w:pPr>
            <w:r w:rsidRPr="001F38E2">
              <w:rPr>
                <w:b/>
              </w:rPr>
              <w:t>Agreed.</w:t>
            </w:r>
            <w:r>
              <w:t xml:space="preserve"> The Council already operates a sinking fund for major repairs for its development at Singletree Rosehill and is exploring this for the new Council homes at Barton</w:t>
            </w:r>
          </w:p>
        </w:tc>
        <w:tc>
          <w:tcPr>
            <w:tcW w:w="1559" w:type="dxa"/>
            <w:vMerge/>
            <w:tcBorders>
              <w:bottom w:val="single" w:sz="4" w:space="0" w:color="auto"/>
            </w:tcBorders>
          </w:tcPr>
          <w:p w:rsidR="009C22E5" w:rsidRPr="001F38E2" w:rsidRDefault="009C22E5" w:rsidP="00416A0F">
            <w:pPr>
              <w:rPr>
                <w:b/>
              </w:rPr>
            </w:pPr>
          </w:p>
        </w:tc>
        <w:tc>
          <w:tcPr>
            <w:tcW w:w="1418" w:type="dxa"/>
            <w:tcBorders>
              <w:top w:val="single" w:sz="4" w:space="0" w:color="auto"/>
              <w:bottom w:val="single" w:sz="4" w:space="0" w:color="auto"/>
              <w:right w:val="single" w:sz="4" w:space="0" w:color="auto"/>
            </w:tcBorders>
          </w:tcPr>
          <w:p w:rsidR="009C22E5" w:rsidRPr="009C22E5" w:rsidRDefault="00791B0C" w:rsidP="00416A0F">
            <w:r>
              <w:t>Dec 2016</w:t>
            </w:r>
          </w:p>
        </w:tc>
      </w:tr>
      <w:tr w:rsidR="00D16A3C" w:rsidRPr="00D16A3C" w:rsidTr="009C22E5">
        <w:trPr>
          <w:trHeight w:val="197"/>
        </w:trPr>
        <w:tc>
          <w:tcPr>
            <w:tcW w:w="13892"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6A3C" w:rsidRPr="00D16A3C" w:rsidRDefault="00D16A3C" w:rsidP="00D16A3C">
            <w:pPr>
              <w:rPr>
                <w:rFonts w:cs="Arial"/>
                <w:b/>
                <w:bCs/>
              </w:rPr>
            </w:pPr>
            <w:r>
              <w:rPr>
                <w:rFonts w:cs="Arial"/>
                <w:b/>
                <w:bCs/>
              </w:rPr>
              <w:t xml:space="preserve">Capital Strategy </w:t>
            </w:r>
            <w:r w:rsidRPr="00D16A3C">
              <w:rPr>
                <w:rFonts w:cs="Arial"/>
                <w:b/>
                <w:bCs/>
              </w:rPr>
              <w:t xml:space="preserve">– 28 January Finance Panel </w:t>
            </w:r>
          </w:p>
        </w:tc>
      </w:tr>
      <w:tr w:rsidR="00D16A3C" w:rsidRPr="003E7E28" w:rsidTr="00B349C0">
        <w:tc>
          <w:tcPr>
            <w:tcW w:w="3260" w:type="dxa"/>
            <w:shd w:val="clear" w:color="auto" w:fill="auto"/>
            <w:vAlign w:val="center"/>
          </w:tcPr>
          <w:p w:rsidR="00D16A3C" w:rsidRPr="003E7E28" w:rsidRDefault="00D16A3C" w:rsidP="00D16A3C">
            <w:pPr>
              <w:rPr>
                <w:rFonts w:cs="Arial"/>
                <w:b/>
              </w:rPr>
            </w:pPr>
            <w:r w:rsidRPr="003E7E28">
              <w:rPr>
                <w:rFonts w:cs="Arial"/>
                <w:b/>
              </w:rPr>
              <w:t>Recommendation</w:t>
            </w:r>
          </w:p>
        </w:tc>
        <w:tc>
          <w:tcPr>
            <w:tcW w:w="1134" w:type="dxa"/>
            <w:gridSpan w:val="4"/>
            <w:shd w:val="clear" w:color="auto" w:fill="auto"/>
            <w:vAlign w:val="center"/>
          </w:tcPr>
          <w:p w:rsidR="00D16A3C" w:rsidRPr="003E7E28" w:rsidRDefault="00D16A3C" w:rsidP="00D16A3C">
            <w:pPr>
              <w:rPr>
                <w:rFonts w:cs="Arial"/>
                <w:b/>
              </w:rPr>
            </w:pPr>
            <w:r w:rsidRPr="003E7E28">
              <w:rPr>
                <w:rFonts w:cs="Arial"/>
                <w:b/>
              </w:rPr>
              <w:t>Agreed Y/N</w:t>
            </w:r>
          </w:p>
        </w:tc>
        <w:tc>
          <w:tcPr>
            <w:tcW w:w="6521" w:type="dxa"/>
            <w:gridSpan w:val="10"/>
            <w:shd w:val="clear" w:color="auto" w:fill="auto"/>
            <w:vAlign w:val="center"/>
          </w:tcPr>
          <w:p w:rsidR="00D16A3C" w:rsidRPr="003E7E28" w:rsidRDefault="00D16A3C" w:rsidP="00D16A3C">
            <w:pPr>
              <w:rPr>
                <w:rFonts w:cs="Arial"/>
                <w:b/>
              </w:rPr>
            </w:pPr>
            <w:r w:rsidRPr="003E7E28">
              <w:rPr>
                <w:rFonts w:cs="Arial"/>
                <w:b/>
              </w:rPr>
              <w:t>Executive response</w:t>
            </w:r>
          </w:p>
        </w:tc>
        <w:tc>
          <w:tcPr>
            <w:tcW w:w="1559" w:type="dxa"/>
            <w:vAlign w:val="center"/>
          </w:tcPr>
          <w:p w:rsidR="00D16A3C" w:rsidRPr="003E7E28" w:rsidRDefault="00D16A3C" w:rsidP="00D16A3C">
            <w:pPr>
              <w:rPr>
                <w:rFonts w:cs="Arial"/>
                <w:b/>
              </w:rPr>
            </w:pPr>
            <w:r w:rsidRPr="003E7E28">
              <w:rPr>
                <w:rFonts w:cs="Arial"/>
                <w:b/>
              </w:rPr>
              <w:t xml:space="preserve">Lead Member &amp; Officer </w:t>
            </w:r>
          </w:p>
        </w:tc>
        <w:tc>
          <w:tcPr>
            <w:tcW w:w="1418" w:type="dxa"/>
            <w:vAlign w:val="center"/>
          </w:tcPr>
          <w:p w:rsidR="00D16A3C" w:rsidRPr="003E7E28" w:rsidRDefault="00D16A3C" w:rsidP="00D16A3C">
            <w:pPr>
              <w:rPr>
                <w:rFonts w:cs="Arial"/>
                <w:b/>
              </w:rPr>
            </w:pPr>
            <w:r w:rsidRPr="003E7E28">
              <w:rPr>
                <w:rFonts w:cs="Arial"/>
                <w:b/>
              </w:rPr>
              <w:t>Implemented Y/N / due date</w:t>
            </w:r>
          </w:p>
        </w:tc>
      </w:tr>
      <w:tr w:rsidR="00D16A3C" w:rsidRPr="00DD0E14" w:rsidTr="00B349C0">
        <w:tc>
          <w:tcPr>
            <w:tcW w:w="3260" w:type="dxa"/>
            <w:shd w:val="clear" w:color="auto" w:fill="auto"/>
          </w:tcPr>
          <w:p w:rsidR="00D16A3C" w:rsidRPr="00AC577F" w:rsidRDefault="00D16A3C" w:rsidP="00D16A3C">
            <w:pPr>
              <w:rPr>
                <w:rFonts w:cs="Arial"/>
              </w:rPr>
            </w:pPr>
            <w:r w:rsidRPr="006A79F0">
              <w:rPr>
                <w:rFonts w:cs="Arial"/>
              </w:rPr>
              <w:t xml:space="preserve">That an evaluation should be undertaken of how the Council can make best use of its grant funding for infrastructure at </w:t>
            </w:r>
            <w:proofErr w:type="spellStart"/>
            <w:r w:rsidRPr="006A79F0">
              <w:rPr>
                <w:rFonts w:cs="Arial"/>
              </w:rPr>
              <w:t>Oxpens</w:t>
            </w:r>
            <w:proofErr w:type="spellEnd"/>
            <w:r w:rsidRPr="006A79F0">
              <w:rPr>
                <w:rFonts w:cs="Arial"/>
              </w:rPr>
              <w:t xml:space="preserve">.  This should include evaluating the risks and benefits of using all or part of the grant in the interim in </w:t>
            </w:r>
            <w:r w:rsidRPr="006A79F0">
              <w:rPr>
                <w:rFonts w:cs="Arial"/>
              </w:rPr>
              <w:lastRenderedPageBreak/>
              <w:t xml:space="preserve">order to fund other things or generate a return, potentially substituting this grant funding with prudential borrowing at a later date in the event that it was needed to fund infrastructure at </w:t>
            </w:r>
            <w:proofErr w:type="spellStart"/>
            <w:r w:rsidRPr="006A79F0">
              <w:rPr>
                <w:rFonts w:cs="Arial"/>
              </w:rPr>
              <w:t>Oxpens</w:t>
            </w:r>
            <w:proofErr w:type="spellEnd"/>
            <w:r w:rsidRPr="006A79F0">
              <w:rPr>
                <w:rFonts w:cs="Arial"/>
              </w:rPr>
              <w:t>.</w:t>
            </w:r>
          </w:p>
        </w:tc>
        <w:tc>
          <w:tcPr>
            <w:tcW w:w="1134" w:type="dxa"/>
            <w:gridSpan w:val="4"/>
            <w:shd w:val="clear" w:color="auto" w:fill="auto"/>
          </w:tcPr>
          <w:p w:rsidR="00D16A3C" w:rsidRPr="00AC577F" w:rsidRDefault="00D16A3C" w:rsidP="00D16A3C">
            <w:pPr>
              <w:rPr>
                <w:rFonts w:cs="Arial"/>
              </w:rPr>
            </w:pPr>
            <w:r>
              <w:rPr>
                <w:rFonts w:cs="Arial"/>
              </w:rPr>
              <w:lastRenderedPageBreak/>
              <w:t>N</w:t>
            </w:r>
          </w:p>
        </w:tc>
        <w:tc>
          <w:tcPr>
            <w:tcW w:w="6521" w:type="dxa"/>
            <w:gridSpan w:val="10"/>
            <w:shd w:val="clear" w:color="auto" w:fill="auto"/>
          </w:tcPr>
          <w:p w:rsidR="00D16A3C" w:rsidRPr="00AC577F" w:rsidRDefault="00D16A3C" w:rsidP="00D16A3C">
            <w:pPr>
              <w:rPr>
                <w:rFonts w:cs="Arial"/>
              </w:rPr>
            </w:pPr>
            <w:r>
              <w:rPr>
                <w:rFonts w:cs="Arial"/>
              </w:rPr>
              <w:t xml:space="preserve">The Council and its partner Nuffield college have only just exchanged contracts on the land purchase from LCR. The grant from the Local Enterprise Partnership is conditional on the Council providing the infrastructure for the development and consequently the Council will either have to fund this itself or ensure it is carried out by the developer to meet the requirement of the grant. There is a long stop date when the infrastructure needs to be in place of 31/12/2027 or the grant repaid to the Local Enterprise </w:t>
            </w:r>
            <w:r>
              <w:rPr>
                <w:rFonts w:cs="Arial"/>
              </w:rPr>
              <w:lastRenderedPageBreak/>
              <w:t>Partnership. It is too early to say at this point whether the Council can secure external funding to pay for the infrastructure and therefore at this stage it is safer to put the grant into an earmarked reserve backed by a long term investment to attract a higher rate of return. This would at least improve the Council’s revenue position as opposed to spending the money, only to find that it was required for the infrastructure at a later date. The position will be reviewed as the project develops and as the risk of the council having to fund the infrastructure is lowered then it can be released into the capital programme to fund other projects which meet the council’s objectives.</w:t>
            </w:r>
          </w:p>
        </w:tc>
        <w:tc>
          <w:tcPr>
            <w:tcW w:w="1559" w:type="dxa"/>
          </w:tcPr>
          <w:p w:rsidR="00D16A3C" w:rsidRPr="00DD0E14" w:rsidRDefault="00D16A3C" w:rsidP="00D16A3C">
            <w:pPr>
              <w:rPr>
                <w:rFonts w:cs="Arial"/>
              </w:rPr>
            </w:pPr>
            <w:r>
              <w:rPr>
                <w:rFonts w:cs="Arial"/>
              </w:rPr>
              <w:lastRenderedPageBreak/>
              <w:t>Cllr Turner &amp; Nigel Kennedy</w:t>
            </w:r>
          </w:p>
        </w:tc>
        <w:tc>
          <w:tcPr>
            <w:tcW w:w="1418" w:type="dxa"/>
          </w:tcPr>
          <w:p w:rsidR="00D16A3C" w:rsidRPr="00DD0E14" w:rsidRDefault="00D16A3C" w:rsidP="00D16A3C">
            <w:pPr>
              <w:rPr>
                <w:rFonts w:cs="Arial"/>
              </w:rPr>
            </w:pPr>
            <w:r>
              <w:rPr>
                <w:rFonts w:cs="Arial"/>
              </w:rPr>
              <w:t>Y</w:t>
            </w:r>
          </w:p>
        </w:tc>
      </w:tr>
      <w:tr w:rsidR="00D16A3C" w:rsidRPr="00D16A3C" w:rsidTr="009C22E5">
        <w:trPr>
          <w:trHeight w:val="197"/>
        </w:trPr>
        <w:tc>
          <w:tcPr>
            <w:tcW w:w="13892"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6A3C" w:rsidRPr="00D16A3C" w:rsidRDefault="00D16A3C" w:rsidP="00D16A3C">
            <w:pPr>
              <w:rPr>
                <w:rFonts w:cs="Arial"/>
                <w:b/>
                <w:bCs/>
              </w:rPr>
            </w:pPr>
            <w:r w:rsidRPr="00D16A3C">
              <w:rPr>
                <w:rFonts w:cs="Arial"/>
                <w:b/>
                <w:bCs/>
              </w:rPr>
              <w:lastRenderedPageBreak/>
              <w:t>Treasury Management Strategy, Annual Report and Performance 2016/17</w:t>
            </w:r>
            <w:r>
              <w:rPr>
                <w:rFonts w:cs="Arial"/>
                <w:b/>
                <w:bCs/>
              </w:rPr>
              <w:t xml:space="preserve"> </w:t>
            </w:r>
            <w:r w:rsidRPr="00D16A3C">
              <w:rPr>
                <w:rFonts w:cs="Arial"/>
                <w:b/>
                <w:bCs/>
              </w:rPr>
              <w:t xml:space="preserve">– 28 January Finance Panel </w:t>
            </w:r>
          </w:p>
        </w:tc>
      </w:tr>
      <w:tr w:rsidR="00D16A3C" w:rsidRPr="003E7E28" w:rsidTr="009C22E5">
        <w:tc>
          <w:tcPr>
            <w:tcW w:w="3969" w:type="dxa"/>
            <w:gridSpan w:val="3"/>
            <w:shd w:val="clear" w:color="auto" w:fill="auto"/>
            <w:vAlign w:val="center"/>
          </w:tcPr>
          <w:p w:rsidR="00D16A3C" w:rsidRPr="003E7E28" w:rsidRDefault="00D16A3C" w:rsidP="00D16A3C">
            <w:pPr>
              <w:rPr>
                <w:rFonts w:cs="Arial"/>
                <w:b/>
              </w:rPr>
            </w:pPr>
            <w:r w:rsidRPr="003E7E28">
              <w:rPr>
                <w:rFonts w:cs="Arial"/>
                <w:b/>
              </w:rPr>
              <w:t>Recommendation</w:t>
            </w:r>
          </w:p>
        </w:tc>
        <w:tc>
          <w:tcPr>
            <w:tcW w:w="1134" w:type="dxa"/>
            <w:gridSpan w:val="4"/>
            <w:shd w:val="clear" w:color="auto" w:fill="auto"/>
            <w:vAlign w:val="center"/>
          </w:tcPr>
          <w:p w:rsidR="00D16A3C" w:rsidRPr="003E7E28" w:rsidRDefault="00D16A3C" w:rsidP="00D16A3C">
            <w:pPr>
              <w:rPr>
                <w:rFonts w:cs="Arial"/>
                <w:b/>
              </w:rPr>
            </w:pPr>
            <w:r w:rsidRPr="003E7E28">
              <w:rPr>
                <w:rFonts w:cs="Arial"/>
                <w:b/>
              </w:rPr>
              <w:t>Agreed Y/N</w:t>
            </w:r>
          </w:p>
        </w:tc>
        <w:tc>
          <w:tcPr>
            <w:tcW w:w="5670" w:type="dxa"/>
            <w:gridSpan w:val="7"/>
            <w:shd w:val="clear" w:color="auto" w:fill="auto"/>
            <w:vAlign w:val="center"/>
          </w:tcPr>
          <w:p w:rsidR="00D16A3C" w:rsidRPr="003E7E28" w:rsidRDefault="00D16A3C" w:rsidP="00D16A3C">
            <w:pPr>
              <w:rPr>
                <w:rFonts w:cs="Arial"/>
                <w:b/>
              </w:rPr>
            </w:pPr>
            <w:r w:rsidRPr="003E7E28">
              <w:rPr>
                <w:rFonts w:cs="Arial"/>
                <w:b/>
              </w:rPr>
              <w:t>Executive response</w:t>
            </w:r>
          </w:p>
        </w:tc>
        <w:tc>
          <w:tcPr>
            <w:tcW w:w="1701" w:type="dxa"/>
            <w:gridSpan w:val="2"/>
            <w:vAlign w:val="center"/>
          </w:tcPr>
          <w:p w:rsidR="00D16A3C" w:rsidRPr="003E7E28" w:rsidRDefault="00D16A3C" w:rsidP="00D16A3C">
            <w:pPr>
              <w:rPr>
                <w:rFonts w:cs="Arial"/>
                <w:b/>
              </w:rPr>
            </w:pPr>
            <w:r w:rsidRPr="003E7E28">
              <w:rPr>
                <w:rFonts w:cs="Arial"/>
                <w:b/>
              </w:rPr>
              <w:t xml:space="preserve">Lead Member &amp; Officer </w:t>
            </w:r>
          </w:p>
        </w:tc>
        <w:tc>
          <w:tcPr>
            <w:tcW w:w="1418" w:type="dxa"/>
            <w:vAlign w:val="center"/>
          </w:tcPr>
          <w:p w:rsidR="00D16A3C" w:rsidRPr="003E7E28" w:rsidRDefault="00D16A3C" w:rsidP="00D16A3C">
            <w:pPr>
              <w:rPr>
                <w:rFonts w:cs="Arial"/>
                <w:b/>
              </w:rPr>
            </w:pPr>
            <w:r w:rsidRPr="003E7E28">
              <w:rPr>
                <w:rFonts w:cs="Arial"/>
                <w:b/>
              </w:rPr>
              <w:t>Implemented Y/N / due date</w:t>
            </w:r>
          </w:p>
        </w:tc>
      </w:tr>
      <w:tr w:rsidR="00D16A3C" w:rsidRPr="00DD0E14" w:rsidTr="009C22E5">
        <w:tc>
          <w:tcPr>
            <w:tcW w:w="3969" w:type="dxa"/>
            <w:gridSpan w:val="3"/>
            <w:shd w:val="clear" w:color="auto" w:fill="auto"/>
          </w:tcPr>
          <w:p w:rsidR="00D16A3C" w:rsidRPr="00AC577F" w:rsidRDefault="00D16A3C" w:rsidP="00D16A3C">
            <w:pPr>
              <w:rPr>
                <w:rFonts w:cs="Arial"/>
              </w:rPr>
            </w:pPr>
            <w:r>
              <w:rPr>
                <w:rFonts w:cs="Arial"/>
              </w:rPr>
              <w:t>1.</w:t>
            </w:r>
            <w:r w:rsidRPr="00407F60">
              <w:rPr>
                <w:rFonts w:cs="Arial"/>
              </w:rPr>
              <w:t xml:space="preserve"> That clarity should be provided as to whether the Council’s ‘real asset lettings’ homelessness property investments should be included on its asset register and how a provision would be made in the event that the value of these ‘assets’ was to fall.</w:t>
            </w:r>
          </w:p>
        </w:tc>
        <w:tc>
          <w:tcPr>
            <w:tcW w:w="1134" w:type="dxa"/>
            <w:gridSpan w:val="4"/>
            <w:shd w:val="clear" w:color="auto" w:fill="auto"/>
          </w:tcPr>
          <w:p w:rsidR="00D16A3C" w:rsidRPr="00AC577F" w:rsidRDefault="00D16A3C" w:rsidP="00D16A3C">
            <w:pPr>
              <w:rPr>
                <w:rFonts w:cs="Arial"/>
              </w:rPr>
            </w:pPr>
            <w:r>
              <w:rPr>
                <w:rFonts w:cs="Arial"/>
              </w:rPr>
              <w:t>Yes</w:t>
            </w:r>
          </w:p>
        </w:tc>
        <w:tc>
          <w:tcPr>
            <w:tcW w:w="5670" w:type="dxa"/>
            <w:gridSpan w:val="7"/>
            <w:shd w:val="clear" w:color="auto" w:fill="auto"/>
          </w:tcPr>
          <w:p w:rsidR="00D16A3C" w:rsidRPr="00AC577F" w:rsidRDefault="00D16A3C" w:rsidP="00D16A3C">
            <w:pPr>
              <w:rPr>
                <w:rFonts w:cs="Arial"/>
              </w:rPr>
            </w:pPr>
            <w:r>
              <w:rPr>
                <w:rFonts w:cs="Arial"/>
              </w:rPr>
              <w:t xml:space="preserve">The Council will make an investment of £5million and in exchange will receive a number of units in the Fund. The investment will constitute capital expenditure in accounting terms to be financed by Prudential Borrowing. Although the Councils investment is guaranteed against the houses purchased the houses themselves are not owned by the council and therefore do not appear on the local authority balance sheet. The Section 151 Officer considers that it is prudent not to make a Minimum Revenue Provision (MRP) charge for repayment of the debt against its revenue account as the debt would be due for repayment with the closure of the Fund after the initial period and the proceeds used to repay the investment.  The Assets will be valued on an annual basis and the value reflected in the price of the units in the fund. Any fall or increase in the value of the assets and </w:t>
            </w:r>
            <w:r>
              <w:rPr>
                <w:rFonts w:cs="Arial"/>
              </w:rPr>
              <w:lastRenderedPageBreak/>
              <w:t xml:space="preserve">hence the value of the units would be held in an unusable reserve on the balance sheet until the investment matures at which point the loss or surplus is realised. Should the value of the asset reduce over time then the Council will need to consider making a Minimum Revenue Provision since the amount received on maturity of the investment may be insufficient to repay the amount. </w:t>
            </w:r>
          </w:p>
        </w:tc>
        <w:tc>
          <w:tcPr>
            <w:tcW w:w="1701" w:type="dxa"/>
            <w:gridSpan w:val="2"/>
            <w:vMerge w:val="restart"/>
          </w:tcPr>
          <w:p w:rsidR="00D16A3C" w:rsidRPr="00DD0E14" w:rsidRDefault="00D16A3C" w:rsidP="00D16A3C">
            <w:pPr>
              <w:rPr>
                <w:rFonts w:cs="Arial"/>
              </w:rPr>
            </w:pPr>
            <w:r>
              <w:rPr>
                <w:rFonts w:cs="Arial"/>
              </w:rPr>
              <w:lastRenderedPageBreak/>
              <w:t>Cllr Turner &amp; Nigel Kennedy</w:t>
            </w:r>
          </w:p>
        </w:tc>
        <w:tc>
          <w:tcPr>
            <w:tcW w:w="1418" w:type="dxa"/>
          </w:tcPr>
          <w:p w:rsidR="00D16A3C" w:rsidRPr="00DD0E14" w:rsidRDefault="00D16A3C" w:rsidP="00D16A3C">
            <w:pPr>
              <w:rPr>
                <w:rFonts w:cs="Arial"/>
              </w:rPr>
            </w:pPr>
            <w:r>
              <w:rPr>
                <w:rFonts w:cs="Arial"/>
              </w:rPr>
              <w:t>Y</w:t>
            </w:r>
          </w:p>
        </w:tc>
      </w:tr>
      <w:tr w:rsidR="00D16A3C" w:rsidRPr="003E7E28" w:rsidTr="009C22E5">
        <w:tc>
          <w:tcPr>
            <w:tcW w:w="3969" w:type="dxa"/>
            <w:gridSpan w:val="3"/>
            <w:shd w:val="clear" w:color="auto" w:fill="auto"/>
          </w:tcPr>
          <w:p w:rsidR="00D16A3C" w:rsidRPr="00407F60" w:rsidRDefault="00D16A3C" w:rsidP="00D16A3C">
            <w:pPr>
              <w:rPr>
                <w:rFonts w:cs="Arial"/>
              </w:rPr>
            </w:pPr>
            <w:r w:rsidRPr="00407F60">
              <w:rPr>
                <w:rFonts w:cs="Arial"/>
              </w:rPr>
              <w:lastRenderedPageBreak/>
              <w:t>2</w:t>
            </w:r>
            <w:r>
              <w:rPr>
                <w:rFonts w:cs="Arial"/>
              </w:rPr>
              <w:t>.</w:t>
            </w:r>
            <w:r w:rsidRPr="00407F60">
              <w:rPr>
                <w:rFonts w:cs="Arial"/>
              </w:rPr>
              <w:t xml:space="preserve"> That the Council should continue to maintain a watching brief on the progress of the Municipal Bonds Agency (Local Capital Financing Company), as well as other relevant financial borrowing instruments.</w:t>
            </w:r>
          </w:p>
        </w:tc>
        <w:tc>
          <w:tcPr>
            <w:tcW w:w="1134" w:type="dxa"/>
            <w:gridSpan w:val="4"/>
            <w:shd w:val="clear" w:color="auto" w:fill="auto"/>
          </w:tcPr>
          <w:p w:rsidR="00D16A3C" w:rsidRPr="00407F60" w:rsidRDefault="00D16A3C" w:rsidP="00D16A3C">
            <w:pPr>
              <w:tabs>
                <w:tab w:val="left" w:pos="1593"/>
              </w:tabs>
              <w:rPr>
                <w:rFonts w:cs="Arial"/>
              </w:rPr>
            </w:pPr>
            <w:r>
              <w:rPr>
                <w:rFonts w:cs="Arial"/>
              </w:rPr>
              <w:t>Yes</w:t>
            </w:r>
          </w:p>
        </w:tc>
        <w:tc>
          <w:tcPr>
            <w:tcW w:w="5670" w:type="dxa"/>
            <w:gridSpan w:val="7"/>
            <w:shd w:val="clear" w:color="auto" w:fill="auto"/>
          </w:tcPr>
          <w:p w:rsidR="00D16A3C" w:rsidRPr="00407F60" w:rsidRDefault="00D16A3C" w:rsidP="00D16A3C">
            <w:pPr>
              <w:ind w:left="34"/>
              <w:rPr>
                <w:rFonts w:cs="Arial"/>
              </w:rPr>
            </w:pPr>
            <w:r>
              <w:rPr>
                <w:rFonts w:cs="Arial"/>
              </w:rPr>
              <w:t>Agreed. The council will maintain a watching and will consider the Municipal Bond Agency alongside other financial institutions when it has a need to borrow to finance capital expenditure</w:t>
            </w:r>
          </w:p>
        </w:tc>
        <w:tc>
          <w:tcPr>
            <w:tcW w:w="1701" w:type="dxa"/>
            <w:gridSpan w:val="2"/>
            <w:vMerge/>
          </w:tcPr>
          <w:p w:rsidR="00D16A3C" w:rsidRPr="003E7E28" w:rsidRDefault="00D16A3C" w:rsidP="00D16A3C">
            <w:pPr>
              <w:rPr>
                <w:rFonts w:cs="Arial"/>
              </w:rPr>
            </w:pPr>
          </w:p>
        </w:tc>
        <w:tc>
          <w:tcPr>
            <w:tcW w:w="1418" w:type="dxa"/>
          </w:tcPr>
          <w:p w:rsidR="00D16A3C" w:rsidRPr="003E7E28" w:rsidRDefault="00D16A3C" w:rsidP="00D16A3C">
            <w:pPr>
              <w:rPr>
                <w:rFonts w:cs="Arial"/>
              </w:rPr>
            </w:pPr>
            <w:r>
              <w:rPr>
                <w:rFonts w:cs="Arial"/>
              </w:rPr>
              <w:t>Y</w:t>
            </w:r>
          </w:p>
        </w:tc>
      </w:tr>
      <w:tr w:rsidR="00D16A3C" w:rsidRPr="00417C2D" w:rsidTr="009C22E5">
        <w:trPr>
          <w:trHeight w:val="197"/>
        </w:trPr>
        <w:tc>
          <w:tcPr>
            <w:tcW w:w="13892"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6A3C" w:rsidRPr="00D16A3C" w:rsidRDefault="00D16A3C" w:rsidP="00D16A3C">
            <w:pPr>
              <w:rPr>
                <w:rFonts w:cs="Arial"/>
                <w:b/>
                <w:bCs/>
              </w:rPr>
            </w:pPr>
            <w:r w:rsidRPr="00D16A3C">
              <w:rPr>
                <w:rFonts w:cs="Arial"/>
                <w:b/>
                <w:bCs/>
              </w:rPr>
              <w:t xml:space="preserve">Energy and Water Supply Procurement 2016 </w:t>
            </w:r>
            <w:r>
              <w:rPr>
                <w:rFonts w:cs="Arial"/>
                <w:b/>
                <w:bCs/>
              </w:rPr>
              <w:t>–</w:t>
            </w:r>
            <w:r w:rsidRPr="00D16A3C">
              <w:rPr>
                <w:rFonts w:cs="Arial"/>
                <w:b/>
                <w:bCs/>
              </w:rPr>
              <w:t xml:space="preserve"> 2020</w:t>
            </w:r>
            <w:r>
              <w:rPr>
                <w:rFonts w:cs="Arial"/>
                <w:b/>
                <w:bCs/>
              </w:rPr>
              <w:t xml:space="preserve"> </w:t>
            </w:r>
            <w:r>
              <w:rPr>
                <w:rFonts w:cs="Arial"/>
                <w:b/>
              </w:rPr>
              <w:t xml:space="preserve">– 28 January Finance Panel </w:t>
            </w:r>
          </w:p>
        </w:tc>
      </w:tr>
      <w:tr w:rsidR="00D16A3C" w:rsidRPr="003E7E28" w:rsidTr="00B349C0">
        <w:tc>
          <w:tcPr>
            <w:tcW w:w="6095" w:type="dxa"/>
            <w:gridSpan w:val="10"/>
            <w:shd w:val="clear" w:color="auto" w:fill="auto"/>
            <w:vAlign w:val="center"/>
          </w:tcPr>
          <w:p w:rsidR="00D16A3C" w:rsidRPr="003E7E28" w:rsidRDefault="00D16A3C" w:rsidP="00D16A3C">
            <w:pPr>
              <w:rPr>
                <w:rFonts w:cs="Arial"/>
                <w:b/>
              </w:rPr>
            </w:pPr>
            <w:r w:rsidRPr="003E7E28">
              <w:rPr>
                <w:rFonts w:cs="Arial"/>
                <w:b/>
              </w:rPr>
              <w:t>Recommendation</w:t>
            </w:r>
          </w:p>
        </w:tc>
        <w:tc>
          <w:tcPr>
            <w:tcW w:w="1134" w:type="dxa"/>
            <w:gridSpan w:val="3"/>
            <w:shd w:val="clear" w:color="auto" w:fill="auto"/>
            <w:vAlign w:val="center"/>
          </w:tcPr>
          <w:p w:rsidR="00D16A3C" w:rsidRPr="003E7E28" w:rsidRDefault="00D16A3C" w:rsidP="00D16A3C">
            <w:pPr>
              <w:rPr>
                <w:rFonts w:cs="Arial"/>
                <w:b/>
              </w:rPr>
            </w:pPr>
            <w:r w:rsidRPr="003E7E28">
              <w:rPr>
                <w:rFonts w:cs="Arial"/>
                <w:b/>
              </w:rPr>
              <w:t>Agreed Y/N</w:t>
            </w:r>
          </w:p>
        </w:tc>
        <w:tc>
          <w:tcPr>
            <w:tcW w:w="3544" w:type="dxa"/>
            <w:shd w:val="clear" w:color="auto" w:fill="auto"/>
            <w:vAlign w:val="center"/>
          </w:tcPr>
          <w:p w:rsidR="00D16A3C" w:rsidRPr="003E7E28" w:rsidRDefault="00D16A3C" w:rsidP="00D16A3C">
            <w:pPr>
              <w:rPr>
                <w:rFonts w:cs="Arial"/>
                <w:b/>
              </w:rPr>
            </w:pPr>
            <w:r w:rsidRPr="003E7E28">
              <w:rPr>
                <w:rFonts w:cs="Arial"/>
                <w:b/>
              </w:rPr>
              <w:t>Executive response</w:t>
            </w:r>
          </w:p>
        </w:tc>
        <w:tc>
          <w:tcPr>
            <w:tcW w:w="1701" w:type="dxa"/>
            <w:gridSpan w:val="2"/>
            <w:vAlign w:val="center"/>
          </w:tcPr>
          <w:p w:rsidR="00D16A3C" w:rsidRPr="003E7E28" w:rsidRDefault="00D16A3C" w:rsidP="00D16A3C">
            <w:pPr>
              <w:rPr>
                <w:rFonts w:cs="Arial"/>
                <w:b/>
              </w:rPr>
            </w:pPr>
            <w:r w:rsidRPr="003E7E28">
              <w:rPr>
                <w:rFonts w:cs="Arial"/>
                <w:b/>
              </w:rPr>
              <w:t xml:space="preserve">Lead Member &amp; Officer </w:t>
            </w:r>
          </w:p>
        </w:tc>
        <w:tc>
          <w:tcPr>
            <w:tcW w:w="1418" w:type="dxa"/>
            <w:vAlign w:val="center"/>
          </w:tcPr>
          <w:p w:rsidR="00D16A3C" w:rsidRPr="003E7E28" w:rsidRDefault="00D16A3C" w:rsidP="00D16A3C">
            <w:pPr>
              <w:rPr>
                <w:rFonts w:cs="Arial"/>
                <w:b/>
              </w:rPr>
            </w:pPr>
            <w:r w:rsidRPr="003E7E28">
              <w:rPr>
                <w:rFonts w:cs="Arial"/>
                <w:b/>
              </w:rPr>
              <w:t>Implemented Y/N / due date</w:t>
            </w:r>
          </w:p>
        </w:tc>
      </w:tr>
      <w:tr w:rsidR="00D16A3C" w:rsidRPr="00DD0E14" w:rsidTr="00B349C0">
        <w:tc>
          <w:tcPr>
            <w:tcW w:w="6095" w:type="dxa"/>
            <w:gridSpan w:val="10"/>
            <w:shd w:val="clear" w:color="auto" w:fill="auto"/>
          </w:tcPr>
          <w:p w:rsidR="00D16A3C" w:rsidRPr="00AC577F" w:rsidRDefault="00D16A3C" w:rsidP="00D16A3C">
            <w:pPr>
              <w:rPr>
                <w:rFonts w:cs="Arial"/>
              </w:rPr>
            </w:pPr>
            <w:r>
              <w:rPr>
                <w:rFonts w:cs="Arial"/>
              </w:rPr>
              <w:t>1.</w:t>
            </w:r>
            <w:r w:rsidRPr="006372A5">
              <w:rPr>
                <w:rFonts w:cs="Arial"/>
              </w:rPr>
              <w:t xml:space="preserve"> That annual decisions on the proportion of renewable energy purchased through the LASER Public Buying Organisation should be informed by evaluations of the costs and benefits of this spend compared to other potential carbon reduction projects.</w:t>
            </w:r>
          </w:p>
        </w:tc>
        <w:tc>
          <w:tcPr>
            <w:tcW w:w="1134" w:type="dxa"/>
            <w:gridSpan w:val="3"/>
            <w:shd w:val="clear" w:color="auto" w:fill="auto"/>
          </w:tcPr>
          <w:p w:rsidR="00D16A3C" w:rsidRPr="00AC577F" w:rsidRDefault="00D16A3C" w:rsidP="00D16A3C">
            <w:pPr>
              <w:rPr>
                <w:rFonts w:cs="Arial"/>
              </w:rPr>
            </w:pPr>
            <w:r>
              <w:rPr>
                <w:rFonts w:cs="Arial"/>
              </w:rPr>
              <w:t>Y</w:t>
            </w:r>
          </w:p>
        </w:tc>
        <w:tc>
          <w:tcPr>
            <w:tcW w:w="3544" w:type="dxa"/>
            <w:shd w:val="clear" w:color="auto" w:fill="auto"/>
          </w:tcPr>
          <w:p w:rsidR="00D16A3C" w:rsidRPr="00AC577F" w:rsidRDefault="00D16A3C" w:rsidP="00D16A3C">
            <w:pPr>
              <w:rPr>
                <w:rFonts w:cs="Arial"/>
              </w:rPr>
            </w:pPr>
            <w:r>
              <w:rPr>
                <w:rFonts w:cs="Arial"/>
              </w:rPr>
              <w:t>Yes happy to agree both.</w:t>
            </w:r>
          </w:p>
        </w:tc>
        <w:tc>
          <w:tcPr>
            <w:tcW w:w="1701" w:type="dxa"/>
            <w:gridSpan w:val="2"/>
            <w:vMerge w:val="restart"/>
          </w:tcPr>
          <w:p w:rsidR="00D16A3C" w:rsidRPr="00DD0E14" w:rsidRDefault="00D16A3C" w:rsidP="00D16A3C">
            <w:pPr>
              <w:rPr>
                <w:rFonts w:cs="Arial"/>
              </w:rPr>
            </w:pPr>
            <w:r>
              <w:rPr>
                <w:rFonts w:cs="Arial"/>
              </w:rPr>
              <w:t>Cllr Tanner &amp; Jo Colwell</w:t>
            </w:r>
          </w:p>
        </w:tc>
        <w:tc>
          <w:tcPr>
            <w:tcW w:w="1418" w:type="dxa"/>
          </w:tcPr>
          <w:p w:rsidR="00D16A3C" w:rsidRPr="00DD0E14" w:rsidRDefault="00D16A3C" w:rsidP="00D16A3C">
            <w:pPr>
              <w:rPr>
                <w:rFonts w:cs="Arial"/>
              </w:rPr>
            </w:pPr>
            <w:r>
              <w:rPr>
                <w:rFonts w:cs="Arial"/>
              </w:rPr>
              <w:t>July 2016</w:t>
            </w:r>
          </w:p>
        </w:tc>
      </w:tr>
      <w:tr w:rsidR="00D16A3C" w:rsidRPr="003E7E28" w:rsidTr="00B349C0">
        <w:tc>
          <w:tcPr>
            <w:tcW w:w="6095" w:type="dxa"/>
            <w:gridSpan w:val="10"/>
            <w:shd w:val="clear" w:color="auto" w:fill="auto"/>
          </w:tcPr>
          <w:p w:rsidR="00D16A3C" w:rsidRPr="00AC577F" w:rsidRDefault="00D16A3C" w:rsidP="00D16A3C">
            <w:pPr>
              <w:rPr>
                <w:rFonts w:cs="Arial"/>
              </w:rPr>
            </w:pPr>
            <w:r w:rsidRPr="006372A5">
              <w:rPr>
                <w:rFonts w:cs="Arial"/>
              </w:rPr>
              <w:t>2</w:t>
            </w:r>
            <w:r>
              <w:rPr>
                <w:rFonts w:cs="Arial"/>
              </w:rPr>
              <w:t>.</w:t>
            </w:r>
            <w:r w:rsidRPr="006372A5">
              <w:rPr>
                <w:rFonts w:cs="Arial"/>
              </w:rPr>
              <w:t xml:space="preserve"> That notes or action points of meetings of the Council’s Carbon and Natural Resources Board should be made available to all elected Members.</w:t>
            </w:r>
          </w:p>
        </w:tc>
        <w:tc>
          <w:tcPr>
            <w:tcW w:w="1134" w:type="dxa"/>
            <w:gridSpan w:val="3"/>
            <w:shd w:val="clear" w:color="auto" w:fill="auto"/>
          </w:tcPr>
          <w:p w:rsidR="00D16A3C" w:rsidRPr="00AC577F" w:rsidRDefault="00D16A3C" w:rsidP="00D16A3C">
            <w:pPr>
              <w:rPr>
                <w:rFonts w:cs="Arial"/>
              </w:rPr>
            </w:pPr>
            <w:r>
              <w:rPr>
                <w:rFonts w:cs="Arial"/>
              </w:rPr>
              <w:t>Y</w:t>
            </w:r>
          </w:p>
        </w:tc>
        <w:tc>
          <w:tcPr>
            <w:tcW w:w="3544" w:type="dxa"/>
            <w:shd w:val="clear" w:color="auto" w:fill="auto"/>
          </w:tcPr>
          <w:p w:rsidR="00D16A3C" w:rsidRPr="00AC577F" w:rsidRDefault="00D16A3C" w:rsidP="00D16A3C">
            <w:pPr>
              <w:rPr>
                <w:rFonts w:cs="Arial"/>
              </w:rPr>
            </w:pPr>
          </w:p>
        </w:tc>
        <w:tc>
          <w:tcPr>
            <w:tcW w:w="1701" w:type="dxa"/>
            <w:gridSpan w:val="2"/>
            <w:vMerge/>
          </w:tcPr>
          <w:p w:rsidR="00D16A3C" w:rsidRPr="003E7E28" w:rsidRDefault="00D16A3C" w:rsidP="00D16A3C">
            <w:pPr>
              <w:rPr>
                <w:rFonts w:cs="Arial"/>
              </w:rPr>
            </w:pPr>
          </w:p>
        </w:tc>
        <w:tc>
          <w:tcPr>
            <w:tcW w:w="1418" w:type="dxa"/>
          </w:tcPr>
          <w:p w:rsidR="00D16A3C" w:rsidRPr="003E7E28" w:rsidRDefault="00D16A3C" w:rsidP="00D16A3C">
            <w:pPr>
              <w:rPr>
                <w:rFonts w:cs="Arial"/>
              </w:rPr>
            </w:pPr>
            <w:r>
              <w:rPr>
                <w:rFonts w:cs="Arial"/>
              </w:rPr>
              <w:t>July 2016</w:t>
            </w:r>
          </w:p>
        </w:tc>
      </w:tr>
      <w:tr w:rsidR="007859AE" w:rsidRPr="00417C2D" w:rsidTr="009C22E5">
        <w:trPr>
          <w:trHeight w:val="197"/>
        </w:trPr>
        <w:tc>
          <w:tcPr>
            <w:tcW w:w="13892"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59AE" w:rsidRPr="00417C2D" w:rsidRDefault="007859AE" w:rsidP="00D16A3C">
            <w:pPr>
              <w:rPr>
                <w:rFonts w:cs="Arial"/>
                <w:b/>
              </w:rPr>
            </w:pPr>
            <w:proofErr w:type="spellStart"/>
            <w:r>
              <w:rPr>
                <w:rFonts w:cs="Arial"/>
                <w:b/>
              </w:rPr>
              <w:t>Oxpens</w:t>
            </w:r>
            <w:proofErr w:type="spellEnd"/>
            <w:r>
              <w:rPr>
                <w:rFonts w:cs="Arial"/>
                <w:b/>
              </w:rPr>
              <w:t xml:space="preserve"> Revised Delivery Strategy – 12 January Scrutiny Committee </w:t>
            </w:r>
          </w:p>
        </w:tc>
      </w:tr>
      <w:tr w:rsidR="007859AE" w:rsidRPr="003E7E28" w:rsidTr="00B349C0">
        <w:tc>
          <w:tcPr>
            <w:tcW w:w="5670" w:type="dxa"/>
            <w:gridSpan w:val="9"/>
            <w:shd w:val="clear" w:color="auto" w:fill="auto"/>
            <w:vAlign w:val="center"/>
          </w:tcPr>
          <w:p w:rsidR="007859AE" w:rsidRPr="003E7E28" w:rsidRDefault="007859AE" w:rsidP="00D16A3C">
            <w:pPr>
              <w:rPr>
                <w:rFonts w:cs="Arial"/>
                <w:b/>
              </w:rPr>
            </w:pPr>
            <w:r w:rsidRPr="003E7E28">
              <w:rPr>
                <w:rFonts w:cs="Arial"/>
                <w:b/>
              </w:rPr>
              <w:t>Recommendation</w:t>
            </w:r>
          </w:p>
        </w:tc>
        <w:tc>
          <w:tcPr>
            <w:tcW w:w="1134" w:type="dxa"/>
            <w:gridSpan w:val="3"/>
            <w:shd w:val="clear" w:color="auto" w:fill="auto"/>
            <w:vAlign w:val="center"/>
          </w:tcPr>
          <w:p w:rsidR="007859AE" w:rsidRPr="003E7E28" w:rsidRDefault="007859AE" w:rsidP="00D16A3C">
            <w:pPr>
              <w:rPr>
                <w:rFonts w:cs="Arial"/>
                <w:b/>
              </w:rPr>
            </w:pPr>
            <w:r w:rsidRPr="003E7E28">
              <w:rPr>
                <w:rFonts w:cs="Arial"/>
                <w:b/>
              </w:rPr>
              <w:t>Agreed Y/N</w:t>
            </w:r>
          </w:p>
        </w:tc>
        <w:tc>
          <w:tcPr>
            <w:tcW w:w="3969" w:type="dxa"/>
            <w:gridSpan w:val="2"/>
            <w:shd w:val="clear" w:color="auto" w:fill="auto"/>
            <w:vAlign w:val="center"/>
          </w:tcPr>
          <w:p w:rsidR="007859AE" w:rsidRPr="003E7E28" w:rsidRDefault="007859AE" w:rsidP="00D16A3C">
            <w:pPr>
              <w:rPr>
                <w:rFonts w:cs="Arial"/>
                <w:b/>
              </w:rPr>
            </w:pPr>
            <w:r w:rsidRPr="003E7E28">
              <w:rPr>
                <w:rFonts w:cs="Arial"/>
                <w:b/>
              </w:rPr>
              <w:t>Executive response</w:t>
            </w:r>
          </w:p>
        </w:tc>
        <w:tc>
          <w:tcPr>
            <w:tcW w:w="1701" w:type="dxa"/>
            <w:gridSpan w:val="2"/>
            <w:vAlign w:val="center"/>
          </w:tcPr>
          <w:p w:rsidR="007859AE" w:rsidRPr="003E7E28" w:rsidRDefault="007859AE" w:rsidP="00D16A3C">
            <w:pPr>
              <w:rPr>
                <w:rFonts w:cs="Arial"/>
                <w:b/>
              </w:rPr>
            </w:pPr>
            <w:r w:rsidRPr="003E7E28">
              <w:rPr>
                <w:rFonts w:cs="Arial"/>
                <w:b/>
              </w:rPr>
              <w:t xml:space="preserve">Lead Member &amp; Officer </w:t>
            </w:r>
          </w:p>
        </w:tc>
        <w:tc>
          <w:tcPr>
            <w:tcW w:w="1418" w:type="dxa"/>
            <w:vAlign w:val="center"/>
          </w:tcPr>
          <w:p w:rsidR="007859AE" w:rsidRPr="003E7E28" w:rsidRDefault="007859AE" w:rsidP="00D16A3C">
            <w:pPr>
              <w:rPr>
                <w:rFonts w:cs="Arial"/>
                <w:b/>
              </w:rPr>
            </w:pPr>
            <w:r w:rsidRPr="003E7E28">
              <w:rPr>
                <w:rFonts w:cs="Arial"/>
                <w:b/>
              </w:rPr>
              <w:t>Implemented Y/N / due date</w:t>
            </w:r>
          </w:p>
        </w:tc>
      </w:tr>
      <w:tr w:rsidR="00D47CED" w:rsidRPr="003E7E28" w:rsidTr="00B349C0">
        <w:tc>
          <w:tcPr>
            <w:tcW w:w="5670" w:type="dxa"/>
            <w:gridSpan w:val="9"/>
            <w:shd w:val="clear" w:color="auto" w:fill="auto"/>
          </w:tcPr>
          <w:p w:rsidR="00D47CED" w:rsidRPr="00AC577F" w:rsidRDefault="00D47CED" w:rsidP="00D16A3C">
            <w:pPr>
              <w:rPr>
                <w:rFonts w:cs="Arial"/>
              </w:rPr>
            </w:pPr>
            <w:r w:rsidRPr="007859AE">
              <w:rPr>
                <w:rFonts w:cs="Arial"/>
              </w:rPr>
              <w:t>1</w:t>
            </w:r>
            <w:r>
              <w:rPr>
                <w:rFonts w:cs="Arial"/>
              </w:rPr>
              <w:t>.</w:t>
            </w:r>
            <w:r w:rsidRPr="007859AE">
              <w:rPr>
                <w:rFonts w:cs="Arial"/>
              </w:rPr>
              <w:t xml:space="preserve"> That a VEAT notice should be issued by the Council in regards to the proposed collaboration </w:t>
            </w:r>
            <w:r w:rsidRPr="007859AE">
              <w:rPr>
                <w:rFonts w:cs="Arial"/>
              </w:rPr>
              <w:lastRenderedPageBreak/>
              <w:t>with Nuffield College.</w:t>
            </w:r>
          </w:p>
        </w:tc>
        <w:tc>
          <w:tcPr>
            <w:tcW w:w="1134" w:type="dxa"/>
            <w:gridSpan w:val="3"/>
            <w:shd w:val="clear" w:color="auto" w:fill="auto"/>
          </w:tcPr>
          <w:p w:rsidR="00D47CED" w:rsidRPr="00F20E3E" w:rsidRDefault="00D47CED" w:rsidP="00D16A3C">
            <w:pPr>
              <w:rPr>
                <w:rFonts w:cs="Arial"/>
                <w:i/>
              </w:rPr>
            </w:pPr>
            <w:r>
              <w:rPr>
                <w:rFonts w:cs="Arial"/>
                <w:i/>
              </w:rPr>
              <w:lastRenderedPageBreak/>
              <w:t>Y</w:t>
            </w:r>
          </w:p>
        </w:tc>
        <w:tc>
          <w:tcPr>
            <w:tcW w:w="3969" w:type="dxa"/>
            <w:gridSpan w:val="2"/>
            <w:shd w:val="clear" w:color="auto" w:fill="auto"/>
          </w:tcPr>
          <w:p w:rsidR="00D47CED" w:rsidRPr="00DD0E14" w:rsidRDefault="00D47CED" w:rsidP="00D16A3C">
            <w:pPr>
              <w:rPr>
                <w:rFonts w:cs="Arial"/>
              </w:rPr>
            </w:pPr>
            <w:r>
              <w:rPr>
                <w:rFonts w:cs="Arial"/>
              </w:rPr>
              <w:t xml:space="preserve">This would protect against a procurement challenge but not a </w:t>
            </w:r>
            <w:r>
              <w:rPr>
                <w:rFonts w:cs="Arial"/>
              </w:rPr>
              <w:lastRenderedPageBreak/>
              <w:t>State Aid challenge.</w:t>
            </w:r>
          </w:p>
        </w:tc>
        <w:tc>
          <w:tcPr>
            <w:tcW w:w="1701" w:type="dxa"/>
            <w:gridSpan w:val="2"/>
            <w:vMerge w:val="restart"/>
          </w:tcPr>
          <w:p w:rsidR="00D47CED" w:rsidRPr="00DD0E14" w:rsidRDefault="00D47CED" w:rsidP="00D16A3C">
            <w:pPr>
              <w:rPr>
                <w:rFonts w:cs="Arial"/>
              </w:rPr>
            </w:pPr>
            <w:r w:rsidRPr="00DD0E14">
              <w:rPr>
                <w:rFonts w:cs="Arial"/>
              </w:rPr>
              <w:lastRenderedPageBreak/>
              <w:t xml:space="preserve">Cllrs Price, Turner &amp; </w:t>
            </w:r>
            <w:r w:rsidRPr="00DD0E14">
              <w:rPr>
                <w:rFonts w:cs="Arial"/>
              </w:rPr>
              <w:lastRenderedPageBreak/>
              <w:t>Hollingsworth</w:t>
            </w:r>
          </w:p>
        </w:tc>
        <w:tc>
          <w:tcPr>
            <w:tcW w:w="1418" w:type="dxa"/>
          </w:tcPr>
          <w:p w:rsidR="00D47CED" w:rsidRPr="00DD0E14" w:rsidRDefault="00D47CED" w:rsidP="00D16A3C">
            <w:pPr>
              <w:rPr>
                <w:rFonts w:cs="Arial"/>
              </w:rPr>
            </w:pPr>
            <w:r>
              <w:rPr>
                <w:rFonts w:cs="Arial"/>
              </w:rPr>
              <w:lastRenderedPageBreak/>
              <w:t>TBC</w:t>
            </w:r>
          </w:p>
        </w:tc>
      </w:tr>
      <w:tr w:rsidR="00D47CED" w:rsidRPr="003E7E28" w:rsidTr="00B349C0">
        <w:tc>
          <w:tcPr>
            <w:tcW w:w="5670" w:type="dxa"/>
            <w:gridSpan w:val="9"/>
            <w:shd w:val="clear" w:color="auto" w:fill="auto"/>
          </w:tcPr>
          <w:p w:rsidR="00D47CED" w:rsidRPr="00AC577F" w:rsidRDefault="00D47CED" w:rsidP="00D16A3C">
            <w:pPr>
              <w:rPr>
                <w:rFonts w:cs="Arial"/>
              </w:rPr>
            </w:pPr>
            <w:r w:rsidRPr="007859AE">
              <w:rPr>
                <w:rFonts w:cs="Arial"/>
              </w:rPr>
              <w:lastRenderedPageBreak/>
              <w:t>2</w:t>
            </w:r>
            <w:r>
              <w:rPr>
                <w:rFonts w:cs="Arial"/>
              </w:rPr>
              <w:t>.</w:t>
            </w:r>
            <w:r w:rsidRPr="007859AE">
              <w:rPr>
                <w:rFonts w:cs="Arial"/>
              </w:rPr>
              <w:t xml:space="preserve"> That the Council should make every effort within its negotiating power to deliver its 50% affordable housing policy at </w:t>
            </w:r>
            <w:proofErr w:type="spellStart"/>
            <w:r w:rsidRPr="007859AE">
              <w:rPr>
                <w:rFonts w:cs="Arial"/>
              </w:rPr>
              <w:t>Oxpens</w:t>
            </w:r>
            <w:proofErr w:type="spellEnd"/>
            <w:r w:rsidRPr="007859AE">
              <w:rPr>
                <w:rFonts w:cs="Arial"/>
              </w:rPr>
              <w:t>.</w:t>
            </w:r>
          </w:p>
        </w:tc>
        <w:tc>
          <w:tcPr>
            <w:tcW w:w="1134" w:type="dxa"/>
            <w:gridSpan w:val="3"/>
            <w:shd w:val="clear" w:color="auto" w:fill="auto"/>
          </w:tcPr>
          <w:p w:rsidR="00D47CED" w:rsidRPr="00F20E3E" w:rsidRDefault="00D47CED" w:rsidP="00D16A3C">
            <w:pPr>
              <w:rPr>
                <w:rFonts w:cs="Arial"/>
                <w:i/>
              </w:rPr>
            </w:pPr>
            <w:r>
              <w:rPr>
                <w:rFonts w:cs="Arial"/>
                <w:i/>
              </w:rPr>
              <w:t>Y</w:t>
            </w:r>
          </w:p>
        </w:tc>
        <w:tc>
          <w:tcPr>
            <w:tcW w:w="3969" w:type="dxa"/>
            <w:gridSpan w:val="2"/>
            <w:shd w:val="clear" w:color="auto" w:fill="auto"/>
          </w:tcPr>
          <w:p w:rsidR="00D47CED" w:rsidRPr="00BD10F5" w:rsidRDefault="00D47CED" w:rsidP="00D16A3C">
            <w:pPr>
              <w:rPr>
                <w:rFonts w:cs="Arial"/>
                <w:i/>
              </w:rPr>
            </w:pPr>
            <w:r>
              <w:rPr>
                <w:rFonts w:cs="Arial"/>
              </w:rPr>
              <w:t>This is a helpful recommendation.  It’s also about maximising the number of affordable housing units.</w:t>
            </w:r>
          </w:p>
        </w:tc>
        <w:tc>
          <w:tcPr>
            <w:tcW w:w="1701" w:type="dxa"/>
            <w:gridSpan w:val="2"/>
            <w:vMerge/>
          </w:tcPr>
          <w:p w:rsidR="00D47CED" w:rsidRPr="003E7E28" w:rsidRDefault="00D47CED" w:rsidP="00D16A3C">
            <w:pPr>
              <w:rPr>
                <w:rFonts w:cs="Arial"/>
              </w:rPr>
            </w:pPr>
          </w:p>
        </w:tc>
        <w:tc>
          <w:tcPr>
            <w:tcW w:w="1418" w:type="dxa"/>
          </w:tcPr>
          <w:p w:rsidR="00D47CED" w:rsidRPr="003E7E28" w:rsidRDefault="00D47CED" w:rsidP="00D16A3C">
            <w:pPr>
              <w:rPr>
                <w:rFonts w:cs="Arial"/>
              </w:rPr>
            </w:pPr>
            <w:r>
              <w:rPr>
                <w:rFonts w:cs="Arial"/>
              </w:rPr>
              <w:t>TBC</w:t>
            </w:r>
          </w:p>
        </w:tc>
      </w:tr>
      <w:tr w:rsidR="00D47CED" w:rsidRPr="003E7E28" w:rsidTr="00B349C0">
        <w:tc>
          <w:tcPr>
            <w:tcW w:w="5670" w:type="dxa"/>
            <w:gridSpan w:val="9"/>
            <w:tcBorders>
              <w:top w:val="single" w:sz="4" w:space="0" w:color="auto"/>
              <w:left w:val="single" w:sz="4" w:space="0" w:color="auto"/>
              <w:bottom w:val="single" w:sz="4" w:space="0" w:color="auto"/>
              <w:right w:val="single" w:sz="4" w:space="0" w:color="auto"/>
            </w:tcBorders>
            <w:shd w:val="clear" w:color="auto" w:fill="auto"/>
          </w:tcPr>
          <w:p w:rsidR="00D47CED" w:rsidRPr="001A0A8E" w:rsidRDefault="00D47CED" w:rsidP="00D16A3C">
            <w:pPr>
              <w:rPr>
                <w:rFonts w:cs="Arial"/>
              </w:rPr>
            </w:pPr>
            <w:r w:rsidRPr="007859AE">
              <w:rPr>
                <w:rFonts w:cs="Arial"/>
              </w:rPr>
              <w:t>3</w:t>
            </w:r>
            <w:r>
              <w:rPr>
                <w:rFonts w:cs="Arial"/>
              </w:rPr>
              <w:t>.</w:t>
            </w:r>
            <w:r w:rsidRPr="007859AE">
              <w:rPr>
                <w:rFonts w:cs="Arial"/>
              </w:rPr>
              <w:t xml:space="preserve"> That the City Executive Board resolves to authorise the disposal of the City Council’s land holdings at </w:t>
            </w:r>
            <w:proofErr w:type="spellStart"/>
            <w:r w:rsidRPr="007859AE">
              <w:rPr>
                <w:rFonts w:cs="Arial"/>
              </w:rPr>
              <w:t>Oxpens</w:t>
            </w:r>
            <w:proofErr w:type="spellEnd"/>
            <w:r w:rsidRPr="007859AE">
              <w:rPr>
                <w:rFonts w:cs="Arial"/>
              </w:rPr>
              <w:t xml:space="preserve"> to the new joint venture company on the terms set out in the report, and delegate authority to the Executive Director, Regeneration and Housing to agree the detailed arrangements of this disposal.</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47CED" w:rsidRPr="00F20E3E" w:rsidRDefault="00D47CED" w:rsidP="00D16A3C">
            <w:pPr>
              <w:rPr>
                <w:rFonts w:cs="Arial"/>
                <w:i/>
              </w:rPr>
            </w:pPr>
            <w:r>
              <w:rPr>
                <w:rFonts w:cs="Arial"/>
                <w:i/>
              </w:rPr>
              <w:t>Y</w:t>
            </w:r>
          </w:p>
        </w:tc>
        <w:tc>
          <w:tcPr>
            <w:tcW w:w="3969" w:type="dxa"/>
            <w:gridSpan w:val="2"/>
            <w:tcBorders>
              <w:top w:val="single" w:sz="4" w:space="0" w:color="auto"/>
              <w:left w:val="single" w:sz="4" w:space="0" w:color="auto"/>
              <w:bottom w:val="single" w:sz="4" w:space="0" w:color="auto"/>
            </w:tcBorders>
            <w:shd w:val="clear" w:color="auto" w:fill="auto"/>
          </w:tcPr>
          <w:p w:rsidR="00D47CED" w:rsidRPr="00BD10F5" w:rsidRDefault="00D47CED" w:rsidP="00D16A3C">
            <w:pPr>
              <w:rPr>
                <w:rFonts w:cs="Arial"/>
                <w:i/>
              </w:rPr>
            </w:pPr>
            <w:r>
              <w:rPr>
                <w:rFonts w:cs="Arial"/>
              </w:rPr>
              <w:t>Agreed.</w:t>
            </w:r>
          </w:p>
        </w:tc>
        <w:tc>
          <w:tcPr>
            <w:tcW w:w="1701" w:type="dxa"/>
            <w:gridSpan w:val="2"/>
            <w:vMerge/>
          </w:tcPr>
          <w:p w:rsidR="00D47CED" w:rsidRPr="003E7E28" w:rsidRDefault="00D47CED" w:rsidP="00D16A3C">
            <w:pPr>
              <w:rPr>
                <w:rFonts w:cs="Arial"/>
              </w:rPr>
            </w:pPr>
          </w:p>
        </w:tc>
        <w:tc>
          <w:tcPr>
            <w:tcW w:w="1418" w:type="dxa"/>
            <w:tcBorders>
              <w:top w:val="single" w:sz="4" w:space="0" w:color="auto"/>
              <w:bottom w:val="single" w:sz="4" w:space="0" w:color="auto"/>
              <w:right w:val="single" w:sz="4" w:space="0" w:color="auto"/>
            </w:tcBorders>
          </w:tcPr>
          <w:p w:rsidR="00D47CED" w:rsidRPr="003E7E28" w:rsidRDefault="00D47CED" w:rsidP="00D16A3C">
            <w:pPr>
              <w:rPr>
                <w:rFonts w:cs="Arial"/>
              </w:rPr>
            </w:pPr>
            <w:r>
              <w:rPr>
                <w:rFonts w:cs="Arial"/>
              </w:rPr>
              <w:t>Y</w:t>
            </w:r>
          </w:p>
        </w:tc>
      </w:tr>
      <w:tr w:rsidR="00D47CED" w:rsidRPr="003E7E28" w:rsidTr="00B349C0">
        <w:tc>
          <w:tcPr>
            <w:tcW w:w="5670" w:type="dxa"/>
            <w:gridSpan w:val="9"/>
            <w:tcBorders>
              <w:top w:val="single" w:sz="4" w:space="0" w:color="auto"/>
              <w:left w:val="single" w:sz="4" w:space="0" w:color="auto"/>
              <w:bottom w:val="single" w:sz="4" w:space="0" w:color="auto"/>
              <w:right w:val="single" w:sz="4" w:space="0" w:color="auto"/>
            </w:tcBorders>
            <w:shd w:val="clear" w:color="auto" w:fill="auto"/>
          </w:tcPr>
          <w:p w:rsidR="00D47CED" w:rsidRPr="001A0A8E" w:rsidRDefault="00D47CED" w:rsidP="00D16A3C">
            <w:pPr>
              <w:rPr>
                <w:rFonts w:cs="Arial"/>
              </w:rPr>
            </w:pPr>
            <w:r w:rsidRPr="007859AE">
              <w:rPr>
                <w:rFonts w:cs="Arial"/>
              </w:rPr>
              <w:t>4</w:t>
            </w:r>
            <w:r>
              <w:rPr>
                <w:rFonts w:cs="Arial"/>
              </w:rPr>
              <w:t>.</w:t>
            </w:r>
            <w:r w:rsidRPr="007859AE">
              <w:rPr>
                <w:rFonts w:cs="Arial"/>
              </w:rPr>
              <w:t xml:space="preserve"> That Council Officers should be instructed to facilitate pre-decision scrutiny of any likely key executive decisions delegated to officers that relate to the </w:t>
            </w:r>
            <w:proofErr w:type="spellStart"/>
            <w:r w:rsidRPr="007859AE">
              <w:rPr>
                <w:rFonts w:cs="Arial"/>
              </w:rPr>
              <w:t>Oxpens</w:t>
            </w:r>
            <w:proofErr w:type="spellEnd"/>
            <w:r w:rsidRPr="007859AE">
              <w:rPr>
                <w:rFonts w:cs="Arial"/>
              </w:rPr>
              <w:t xml:space="preserve"> development, including by notifying the Committee in good time before any such decisions are taken.</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47CED" w:rsidRPr="00F20E3E" w:rsidRDefault="00D47CED" w:rsidP="00D16A3C">
            <w:pPr>
              <w:rPr>
                <w:rFonts w:cs="Arial"/>
                <w:i/>
              </w:rPr>
            </w:pPr>
            <w:r>
              <w:rPr>
                <w:rFonts w:cs="Arial"/>
                <w:i/>
              </w:rPr>
              <w:t>Y</w:t>
            </w:r>
          </w:p>
        </w:tc>
        <w:tc>
          <w:tcPr>
            <w:tcW w:w="3969" w:type="dxa"/>
            <w:gridSpan w:val="2"/>
            <w:tcBorders>
              <w:top w:val="single" w:sz="4" w:space="0" w:color="auto"/>
              <w:left w:val="single" w:sz="4" w:space="0" w:color="auto"/>
              <w:bottom w:val="single" w:sz="4" w:space="0" w:color="auto"/>
            </w:tcBorders>
            <w:shd w:val="clear" w:color="auto" w:fill="auto"/>
          </w:tcPr>
          <w:p w:rsidR="00D47CED" w:rsidRPr="00BD10F5" w:rsidRDefault="00D47CED" w:rsidP="00D16A3C">
            <w:pPr>
              <w:rPr>
                <w:rFonts w:cs="Arial"/>
                <w:i/>
              </w:rPr>
            </w:pPr>
            <w:r>
              <w:rPr>
                <w:rFonts w:cs="Arial"/>
              </w:rPr>
              <w:t>Agreed.</w:t>
            </w:r>
          </w:p>
        </w:tc>
        <w:tc>
          <w:tcPr>
            <w:tcW w:w="1701" w:type="dxa"/>
            <w:gridSpan w:val="2"/>
            <w:vMerge/>
            <w:tcBorders>
              <w:bottom w:val="single" w:sz="4" w:space="0" w:color="auto"/>
            </w:tcBorders>
          </w:tcPr>
          <w:p w:rsidR="00D47CED" w:rsidRPr="003E7E28" w:rsidRDefault="00D47CED" w:rsidP="00D16A3C">
            <w:pPr>
              <w:rPr>
                <w:rFonts w:cs="Arial"/>
              </w:rPr>
            </w:pPr>
          </w:p>
        </w:tc>
        <w:tc>
          <w:tcPr>
            <w:tcW w:w="1418" w:type="dxa"/>
            <w:tcBorders>
              <w:top w:val="single" w:sz="4" w:space="0" w:color="auto"/>
              <w:bottom w:val="single" w:sz="4" w:space="0" w:color="auto"/>
              <w:right w:val="single" w:sz="4" w:space="0" w:color="auto"/>
            </w:tcBorders>
          </w:tcPr>
          <w:p w:rsidR="00D47CED" w:rsidRPr="003E7E28" w:rsidRDefault="00D47CED" w:rsidP="00D16A3C">
            <w:pPr>
              <w:rPr>
                <w:rFonts w:cs="Arial"/>
              </w:rPr>
            </w:pPr>
            <w:r>
              <w:rPr>
                <w:rFonts w:cs="Arial"/>
              </w:rPr>
              <w:t>TBC</w:t>
            </w:r>
          </w:p>
        </w:tc>
      </w:tr>
    </w:tbl>
    <w:p w:rsidR="001E5F82" w:rsidRDefault="001E5F82" w:rsidP="00512CAF"/>
    <w:sectPr w:rsidR="001E5F82" w:rsidSect="00AD0216">
      <w:headerReference w:type="default" r:id="rId9"/>
      <w:pgSz w:w="16838" w:h="11906" w:orient="landscape"/>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A3C" w:rsidRDefault="00D16A3C" w:rsidP="00B53CB3">
      <w:r>
        <w:separator/>
      </w:r>
    </w:p>
  </w:endnote>
  <w:endnote w:type="continuationSeparator" w:id="0">
    <w:p w:rsidR="00D16A3C" w:rsidRDefault="00D16A3C" w:rsidP="00B5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A3C" w:rsidRDefault="00D16A3C" w:rsidP="00B53CB3">
      <w:r>
        <w:separator/>
      </w:r>
    </w:p>
  </w:footnote>
  <w:footnote w:type="continuationSeparator" w:id="0">
    <w:p w:rsidR="00D16A3C" w:rsidRDefault="00D16A3C" w:rsidP="00B53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A3C" w:rsidRDefault="00D16A3C" w:rsidP="00B53CB3">
    <w:pPr>
      <w:pStyle w:val="Header"/>
      <w:jc w:val="right"/>
    </w:pPr>
    <w:r>
      <w:t>12 February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076F"/>
    <w:multiLevelType w:val="hybridMultilevel"/>
    <w:tmpl w:val="B1F6E18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nsid w:val="06D42B52"/>
    <w:multiLevelType w:val="hybridMultilevel"/>
    <w:tmpl w:val="6E1214C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0A5D366D"/>
    <w:multiLevelType w:val="hybridMultilevel"/>
    <w:tmpl w:val="702CD89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0DCC6DAC"/>
    <w:multiLevelType w:val="hybridMultilevel"/>
    <w:tmpl w:val="52ACE6A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nsid w:val="0F0C6B40"/>
    <w:multiLevelType w:val="hybridMultilevel"/>
    <w:tmpl w:val="57720B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0844860"/>
    <w:multiLevelType w:val="hybridMultilevel"/>
    <w:tmpl w:val="3266F5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81B6BD8"/>
    <w:multiLevelType w:val="hybridMultilevel"/>
    <w:tmpl w:val="57720B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B1A70B5"/>
    <w:multiLevelType w:val="hybridMultilevel"/>
    <w:tmpl w:val="C0924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D57370"/>
    <w:multiLevelType w:val="hybridMultilevel"/>
    <w:tmpl w:val="E31EAE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1974F4F"/>
    <w:multiLevelType w:val="hybridMultilevel"/>
    <w:tmpl w:val="B136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970DF1"/>
    <w:multiLevelType w:val="hybridMultilevel"/>
    <w:tmpl w:val="22906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F06BD3"/>
    <w:multiLevelType w:val="hybridMultilevel"/>
    <w:tmpl w:val="4CF6C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8C1CB7"/>
    <w:multiLevelType w:val="hybridMultilevel"/>
    <w:tmpl w:val="B2A85C42"/>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27B63201"/>
    <w:multiLevelType w:val="hybridMultilevel"/>
    <w:tmpl w:val="FE84A25C"/>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nsid w:val="2D1F4A78"/>
    <w:multiLevelType w:val="hybridMultilevel"/>
    <w:tmpl w:val="9AB46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13A28C1"/>
    <w:multiLevelType w:val="hybridMultilevel"/>
    <w:tmpl w:val="16785B3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179238A"/>
    <w:multiLevelType w:val="hybridMultilevel"/>
    <w:tmpl w:val="57720B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2FB0A18"/>
    <w:multiLevelType w:val="hybridMultilevel"/>
    <w:tmpl w:val="569643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80843F4"/>
    <w:multiLevelType w:val="hybridMultilevel"/>
    <w:tmpl w:val="DE62D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8333398"/>
    <w:multiLevelType w:val="hybridMultilevel"/>
    <w:tmpl w:val="0832D2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9A9596B"/>
    <w:multiLevelType w:val="hybridMultilevel"/>
    <w:tmpl w:val="9B441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4484116"/>
    <w:multiLevelType w:val="hybridMultilevel"/>
    <w:tmpl w:val="6A8296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DBB467F"/>
    <w:multiLevelType w:val="hybridMultilevel"/>
    <w:tmpl w:val="3A1496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DC07E82"/>
    <w:multiLevelType w:val="hybridMultilevel"/>
    <w:tmpl w:val="07C218DC"/>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nsid w:val="4DDF2674"/>
    <w:multiLevelType w:val="hybridMultilevel"/>
    <w:tmpl w:val="569643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59E657F"/>
    <w:multiLevelType w:val="hybridMultilevel"/>
    <w:tmpl w:val="F5E4B7C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nsid w:val="55F57089"/>
    <w:multiLevelType w:val="hybridMultilevel"/>
    <w:tmpl w:val="8F42576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nsid w:val="5886547D"/>
    <w:multiLevelType w:val="hybridMultilevel"/>
    <w:tmpl w:val="EF541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946238E"/>
    <w:multiLevelType w:val="hybridMultilevel"/>
    <w:tmpl w:val="57720B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D7A680D"/>
    <w:multiLevelType w:val="hybridMultilevel"/>
    <w:tmpl w:val="00A4F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1635739"/>
    <w:multiLevelType w:val="hybridMultilevel"/>
    <w:tmpl w:val="CB0CFF8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nsid w:val="62312D37"/>
    <w:multiLevelType w:val="hybridMultilevel"/>
    <w:tmpl w:val="B454B1F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nsid w:val="63F56FF9"/>
    <w:multiLevelType w:val="hybridMultilevel"/>
    <w:tmpl w:val="C0B80F1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3">
    <w:nsid w:val="66202282"/>
    <w:multiLevelType w:val="hybridMultilevel"/>
    <w:tmpl w:val="7F80B9AA"/>
    <w:lvl w:ilvl="0" w:tplc="A21A45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63D7E27"/>
    <w:multiLevelType w:val="hybridMultilevel"/>
    <w:tmpl w:val="16785B3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79F7999"/>
    <w:multiLevelType w:val="hybridMultilevel"/>
    <w:tmpl w:val="8ACEAAFC"/>
    <w:lvl w:ilvl="0" w:tplc="08090017">
      <w:start w:val="1"/>
      <w:numFmt w:val="lowerLetter"/>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36">
    <w:nsid w:val="7419360E"/>
    <w:multiLevelType w:val="hybridMultilevel"/>
    <w:tmpl w:val="7E6A3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7512DE5"/>
    <w:multiLevelType w:val="hybridMultilevel"/>
    <w:tmpl w:val="C2B2B7D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nsid w:val="7C0D5374"/>
    <w:multiLevelType w:val="hybridMultilevel"/>
    <w:tmpl w:val="F71A2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E293B99"/>
    <w:multiLevelType w:val="hybridMultilevel"/>
    <w:tmpl w:val="8B84D4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24"/>
  </w:num>
  <w:num w:numId="3">
    <w:abstractNumId w:val="38"/>
  </w:num>
  <w:num w:numId="4">
    <w:abstractNumId w:val="39"/>
  </w:num>
  <w:num w:numId="5">
    <w:abstractNumId w:val="14"/>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0"/>
  </w:num>
  <w:num w:numId="9">
    <w:abstractNumId w:val="27"/>
  </w:num>
  <w:num w:numId="10">
    <w:abstractNumId w:val="18"/>
  </w:num>
  <w:num w:numId="11">
    <w:abstractNumId w:val="5"/>
  </w:num>
  <w:num w:numId="12">
    <w:abstractNumId w:val="36"/>
  </w:num>
  <w:num w:numId="13">
    <w:abstractNumId w:val="29"/>
  </w:num>
  <w:num w:numId="14">
    <w:abstractNumId w:val="33"/>
  </w:num>
  <w:num w:numId="15">
    <w:abstractNumId w:val="7"/>
  </w:num>
  <w:num w:numId="16">
    <w:abstractNumId w:val="26"/>
  </w:num>
  <w:num w:numId="17">
    <w:abstractNumId w:val="17"/>
  </w:num>
  <w:num w:numId="18">
    <w:abstractNumId w:val="16"/>
  </w:num>
  <w:num w:numId="19">
    <w:abstractNumId w:val="28"/>
  </w:num>
  <w:num w:numId="20">
    <w:abstractNumId w:val="4"/>
  </w:num>
  <w:num w:numId="21">
    <w:abstractNumId w:val="10"/>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8"/>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35"/>
  </w:num>
  <w:num w:numId="37">
    <w:abstractNumId w:val="9"/>
  </w:num>
  <w:num w:numId="38">
    <w:abstractNumId w:val="15"/>
  </w:num>
  <w:num w:numId="39">
    <w:abstractNumId w:val="34"/>
  </w:num>
  <w:num w:numId="40">
    <w:abstractNumId w:val="19"/>
  </w:num>
  <w:num w:numId="41">
    <w:abstractNumId w:val="11"/>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ED"/>
    <w:rsid w:val="00022316"/>
    <w:rsid w:val="000332BC"/>
    <w:rsid w:val="00042425"/>
    <w:rsid w:val="00044F81"/>
    <w:rsid w:val="00050D31"/>
    <w:rsid w:val="00065D19"/>
    <w:rsid w:val="000907A4"/>
    <w:rsid w:val="000A4475"/>
    <w:rsid w:val="000A641D"/>
    <w:rsid w:val="000B4310"/>
    <w:rsid w:val="000C2351"/>
    <w:rsid w:val="000C7EFC"/>
    <w:rsid w:val="000F1206"/>
    <w:rsid w:val="000F3DFE"/>
    <w:rsid w:val="001035B3"/>
    <w:rsid w:val="0017183A"/>
    <w:rsid w:val="00180D75"/>
    <w:rsid w:val="001C0084"/>
    <w:rsid w:val="001D5FF1"/>
    <w:rsid w:val="001E5F82"/>
    <w:rsid w:val="001E75C0"/>
    <w:rsid w:val="001F088D"/>
    <w:rsid w:val="002014D2"/>
    <w:rsid w:val="002073B7"/>
    <w:rsid w:val="0021254A"/>
    <w:rsid w:val="002156E2"/>
    <w:rsid w:val="00220229"/>
    <w:rsid w:val="00223663"/>
    <w:rsid w:val="00231089"/>
    <w:rsid w:val="00233049"/>
    <w:rsid w:val="00234BF4"/>
    <w:rsid w:val="002511EA"/>
    <w:rsid w:val="00253EAD"/>
    <w:rsid w:val="00292169"/>
    <w:rsid w:val="002A0C78"/>
    <w:rsid w:val="002B2BFC"/>
    <w:rsid w:val="002B5B42"/>
    <w:rsid w:val="002C0C24"/>
    <w:rsid w:val="002E7B68"/>
    <w:rsid w:val="002F3A2A"/>
    <w:rsid w:val="003023E9"/>
    <w:rsid w:val="00316382"/>
    <w:rsid w:val="00326344"/>
    <w:rsid w:val="00327FFE"/>
    <w:rsid w:val="0035028E"/>
    <w:rsid w:val="00357022"/>
    <w:rsid w:val="003609CE"/>
    <w:rsid w:val="00372908"/>
    <w:rsid w:val="003868AF"/>
    <w:rsid w:val="00395D50"/>
    <w:rsid w:val="0039766A"/>
    <w:rsid w:val="003A37E9"/>
    <w:rsid w:val="003A4328"/>
    <w:rsid w:val="003A6504"/>
    <w:rsid w:val="003B3272"/>
    <w:rsid w:val="003C133A"/>
    <w:rsid w:val="003C1987"/>
    <w:rsid w:val="003C7868"/>
    <w:rsid w:val="003E3F0E"/>
    <w:rsid w:val="003E7E28"/>
    <w:rsid w:val="004000D7"/>
    <w:rsid w:val="00414EEA"/>
    <w:rsid w:val="00417C2D"/>
    <w:rsid w:val="00422502"/>
    <w:rsid w:val="00447415"/>
    <w:rsid w:val="004902A3"/>
    <w:rsid w:val="004A6057"/>
    <w:rsid w:val="004D284C"/>
    <w:rsid w:val="004E7776"/>
    <w:rsid w:val="00504E43"/>
    <w:rsid w:val="00512CAF"/>
    <w:rsid w:val="005220C5"/>
    <w:rsid w:val="00522963"/>
    <w:rsid w:val="00551928"/>
    <w:rsid w:val="00571A41"/>
    <w:rsid w:val="00583C5A"/>
    <w:rsid w:val="00583F5B"/>
    <w:rsid w:val="00585DF7"/>
    <w:rsid w:val="005A0260"/>
    <w:rsid w:val="005B58FD"/>
    <w:rsid w:val="005C3282"/>
    <w:rsid w:val="005F5124"/>
    <w:rsid w:val="00603BD1"/>
    <w:rsid w:val="00614208"/>
    <w:rsid w:val="00623DA4"/>
    <w:rsid w:val="00625D14"/>
    <w:rsid w:val="006276C2"/>
    <w:rsid w:val="00634CB5"/>
    <w:rsid w:val="00637FCD"/>
    <w:rsid w:val="00640379"/>
    <w:rsid w:val="006625D8"/>
    <w:rsid w:val="00673B85"/>
    <w:rsid w:val="006F4EBF"/>
    <w:rsid w:val="006F5159"/>
    <w:rsid w:val="00706748"/>
    <w:rsid w:val="0071229E"/>
    <w:rsid w:val="0072169B"/>
    <w:rsid w:val="00753A00"/>
    <w:rsid w:val="00764563"/>
    <w:rsid w:val="00765F59"/>
    <w:rsid w:val="00770B64"/>
    <w:rsid w:val="00780C0F"/>
    <w:rsid w:val="007859AE"/>
    <w:rsid w:val="007908F4"/>
    <w:rsid w:val="00791B0C"/>
    <w:rsid w:val="007A0A6C"/>
    <w:rsid w:val="007A4A33"/>
    <w:rsid w:val="007A7DC2"/>
    <w:rsid w:val="007B337C"/>
    <w:rsid w:val="007F368C"/>
    <w:rsid w:val="00807DCE"/>
    <w:rsid w:val="008314CD"/>
    <w:rsid w:val="008439EC"/>
    <w:rsid w:val="00844866"/>
    <w:rsid w:val="00846740"/>
    <w:rsid w:val="008510EC"/>
    <w:rsid w:val="00855DA9"/>
    <w:rsid w:val="00874529"/>
    <w:rsid w:val="008A22C6"/>
    <w:rsid w:val="008A7475"/>
    <w:rsid w:val="008B5F60"/>
    <w:rsid w:val="008C0949"/>
    <w:rsid w:val="008C55F1"/>
    <w:rsid w:val="008D23EB"/>
    <w:rsid w:val="008D24F2"/>
    <w:rsid w:val="008D519F"/>
    <w:rsid w:val="008D73A0"/>
    <w:rsid w:val="00933E25"/>
    <w:rsid w:val="00933FB7"/>
    <w:rsid w:val="0095142D"/>
    <w:rsid w:val="00956626"/>
    <w:rsid w:val="009739FF"/>
    <w:rsid w:val="0097480E"/>
    <w:rsid w:val="009775AE"/>
    <w:rsid w:val="00980EFA"/>
    <w:rsid w:val="00985E86"/>
    <w:rsid w:val="00991CB7"/>
    <w:rsid w:val="009B54B8"/>
    <w:rsid w:val="009C22E5"/>
    <w:rsid w:val="00A068C0"/>
    <w:rsid w:val="00A148F9"/>
    <w:rsid w:val="00A2637A"/>
    <w:rsid w:val="00A308B0"/>
    <w:rsid w:val="00A334CA"/>
    <w:rsid w:val="00A52ED5"/>
    <w:rsid w:val="00A82BD6"/>
    <w:rsid w:val="00A8300A"/>
    <w:rsid w:val="00AA0338"/>
    <w:rsid w:val="00AA66C9"/>
    <w:rsid w:val="00AB74FD"/>
    <w:rsid w:val="00AD0216"/>
    <w:rsid w:val="00AD2B44"/>
    <w:rsid w:val="00AD4070"/>
    <w:rsid w:val="00B035ED"/>
    <w:rsid w:val="00B06093"/>
    <w:rsid w:val="00B07D30"/>
    <w:rsid w:val="00B15A23"/>
    <w:rsid w:val="00B349C0"/>
    <w:rsid w:val="00B44C14"/>
    <w:rsid w:val="00B53CB3"/>
    <w:rsid w:val="00B546F7"/>
    <w:rsid w:val="00B85A5C"/>
    <w:rsid w:val="00B87404"/>
    <w:rsid w:val="00B92E5F"/>
    <w:rsid w:val="00B96221"/>
    <w:rsid w:val="00BA635A"/>
    <w:rsid w:val="00BB1942"/>
    <w:rsid w:val="00BB5FA4"/>
    <w:rsid w:val="00BB68B5"/>
    <w:rsid w:val="00BC1E44"/>
    <w:rsid w:val="00BD10F5"/>
    <w:rsid w:val="00BD198F"/>
    <w:rsid w:val="00BD7A68"/>
    <w:rsid w:val="00BE05DB"/>
    <w:rsid w:val="00BE4848"/>
    <w:rsid w:val="00BF26ED"/>
    <w:rsid w:val="00C07F80"/>
    <w:rsid w:val="00C36F77"/>
    <w:rsid w:val="00C57971"/>
    <w:rsid w:val="00C650ED"/>
    <w:rsid w:val="00C711B7"/>
    <w:rsid w:val="00C90875"/>
    <w:rsid w:val="00CA6277"/>
    <w:rsid w:val="00CB5B94"/>
    <w:rsid w:val="00CC30CF"/>
    <w:rsid w:val="00CC680A"/>
    <w:rsid w:val="00CD1800"/>
    <w:rsid w:val="00CE452A"/>
    <w:rsid w:val="00CF193A"/>
    <w:rsid w:val="00CF3D58"/>
    <w:rsid w:val="00D00793"/>
    <w:rsid w:val="00D16A3C"/>
    <w:rsid w:val="00D17647"/>
    <w:rsid w:val="00D23053"/>
    <w:rsid w:val="00D231E7"/>
    <w:rsid w:val="00D3561F"/>
    <w:rsid w:val="00D47CED"/>
    <w:rsid w:val="00D52741"/>
    <w:rsid w:val="00D57AC1"/>
    <w:rsid w:val="00D67F33"/>
    <w:rsid w:val="00D9155A"/>
    <w:rsid w:val="00D93E13"/>
    <w:rsid w:val="00DA317E"/>
    <w:rsid w:val="00DA4198"/>
    <w:rsid w:val="00DB6F15"/>
    <w:rsid w:val="00DE2811"/>
    <w:rsid w:val="00DE7627"/>
    <w:rsid w:val="00DF2345"/>
    <w:rsid w:val="00E07E73"/>
    <w:rsid w:val="00E14D9F"/>
    <w:rsid w:val="00E4362E"/>
    <w:rsid w:val="00E57A03"/>
    <w:rsid w:val="00E7113B"/>
    <w:rsid w:val="00E73644"/>
    <w:rsid w:val="00E802C3"/>
    <w:rsid w:val="00EA7849"/>
    <w:rsid w:val="00EB2B57"/>
    <w:rsid w:val="00EC1706"/>
    <w:rsid w:val="00EF37F3"/>
    <w:rsid w:val="00EF4CF3"/>
    <w:rsid w:val="00F01082"/>
    <w:rsid w:val="00F20E3E"/>
    <w:rsid w:val="00F23B74"/>
    <w:rsid w:val="00F30829"/>
    <w:rsid w:val="00F359DF"/>
    <w:rsid w:val="00F551A2"/>
    <w:rsid w:val="00F6011E"/>
    <w:rsid w:val="00F623D5"/>
    <w:rsid w:val="00F81C76"/>
    <w:rsid w:val="00F83BA4"/>
    <w:rsid w:val="00FA1D87"/>
    <w:rsid w:val="00FA7789"/>
    <w:rsid w:val="00FD3A85"/>
    <w:rsid w:val="00FE3A2B"/>
    <w:rsid w:val="00FE7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C0F"/>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0ED"/>
    <w:pPr>
      <w:ind w:left="720"/>
      <w:contextualSpacing/>
    </w:pPr>
    <w:rPr>
      <w:rFonts w:eastAsia="Calibri" w:cs="Arial"/>
    </w:rPr>
  </w:style>
  <w:style w:type="paragraph" w:customStyle="1" w:styleId="CharChar1CharCharCharCharCharCharChar">
    <w:name w:val="Char Char1 Char Char Char Char Char Char Char"/>
    <w:basedOn w:val="Normal"/>
    <w:rsid w:val="00C650ED"/>
    <w:pPr>
      <w:spacing w:after="160" w:line="240" w:lineRule="exact"/>
    </w:pPr>
    <w:rPr>
      <w:rFonts w:ascii="Verdana" w:hAnsi="Verdana"/>
      <w:lang w:val="en-US"/>
    </w:rPr>
  </w:style>
  <w:style w:type="paragraph" w:styleId="Header">
    <w:name w:val="header"/>
    <w:basedOn w:val="Normal"/>
    <w:link w:val="HeaderChar"/>
    <w:uiPriority w:val="99"/>
    <w:unhideWhenUsed/>
    <w:rsid w:val="00B53CB3"/>
    <w:pPr>
      <w:tabs>
        <w:tab w:val="center" w:pos="4513"/>
        <w:tab w:val="right" w:pos="9026"/>
      </w:tabs>
    </w:pPr>
  </w:style>
  <w:style w:type="character" w:customStyle="1" w:styleId="HeaderChar">
    <w:name w:val="Header Char"/>
    <w:basedOn w:val="DefaultParagraphFont"/>
    <w:link w:val="Header"/>
    <w:uiPriority w:val="99"/>
    <w:rsid w:val="00B53CB3"/>
    <w:rPr>
      <w:rFonts w:eastAsia="Times New Roman" w:cs="Times New Roman"/>
    </w:rPr>
  </w:style>
  <w:style w:type="paragraph" w:styleId="Footer">
    <w:name w:val="footer"/>
    <w:basedOn w:val="Normal"/>
    <w:link w:val="FooterChar"/>
    <w:uiPriority w:val="99"/>
    <w:unhideWhenUsed/>
    <w:rsid w:val="00B53CB3"/>
    <w:pPr>
      <w:tabs>
        <w:tab w:val="center" w:pos="4513"/>
        <w:tab w:val="right" w:pos="9026"/>
      </w:tabs>
    </w:pPr>
  </w:style>
  <w:style w:type="character" w:customStyle="1" w:styleId="FooterChar">
    <w:name w:val="Footer Char"/>
    <w:basedOn w:val="DefaultParagraphFont"/>
    <w:link w:val="Footer"/>
    <w:uiPriority w:val="99"/>
    <w:rsid w:val="00B53CB3"/>
    <w:rPr>
      <w:rFonts w:eastAsia="Times New Roman" w:cs="Times New Roman"/>
    </w:rPr>
  </w:style>
  <w:style w:type="character" w:styleId="Hyperlink">
    <w:name w:val="Hyperlink"/>
    <w:basedOn w:val="DefaultParagraphFont"/>
    <w:uiPriority w:val="99"/>
    <w:unhideWhenUsed/>
    <w:rsid w:val="00DE7627"/>
    <w:rPr>
      <w:color w:val="0000FF" w:themeColor="hyperlink"/>
      <w:u w:val="single"/>
    </w:rPr>
  </w:style>
  <w:style w:type="paragraph" w:styleId="FootnoteText">
    <w:name w:val="footnote text"/>
    <w:basedOn w:val="Normal"/>
    <w:link w:val="FootnoteTextChar"/>
    <w:uiPriority w:val="99"/>
    <w:semiHidden/>
    <w:unhideWhenUsed/>
    <w:rsid w:val="00050D31"/>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50D31"/>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050D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C0F"/>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0ED"/>
    <w:pPr>
      <w:ind w:left="720"/>
      <w:contextualSpacing/>
    </w:pPr>
    <w:rPr>
      <w:rFonts w:eastAsia="Calibri" w:cs="Arial"/>
    </w:rPr>
  </w:style>
  <w:style w:type="paragraph" w:customStyle="1" w:styleId="CharChar1CharCharCharCharCharCharChar">
    <w:name w:val="Char Char1 Char Char Char Char Char Char Char"/>
    <w:basedOn w:val="Normal"/>
    <w:rsid w:val="00C650ED"/>
    <w:pPr>
      <w:spacing w:after="160" w:line="240" w:lineRule="exact"/>
    </w:pPr>
    <w:rPr>
      <w:rFonts w:ascii="Verdana" w:hAnsi="Verdana"/>
      <w:lang w:val="en-US"/>
    </w:rPr>
  </w:style>
  <w:style w:type="paragraph" w:styleId="Header">
    <w:name w:val="header"/>
    <w:basedOn w:val="Normal"/>
    <w:link w:val="HeaderChar"/>
    <w:uiPriority w:val="99"/>
    <w:unhideWhenUsed/>
    <w:rsid w:val="00B53CB3"/>
    <w:pPr>
      <w:tabs>
        <w:tab w:val="center" w:pos="4513"/>
        <w:tab w:val="right" w:pos="9026"/>
      </w:tabs>
    </w:pPr>
  </w:style>
  <w:style w:type="character" w:customStyle="1" w:styleId="HeaderChar">
    <w:name w:val="Header Char"/>
    <w:basedOn w:val="DefaultParagraphFont"/>
    <w:link w:val="Header"/>
    <w:uiPriority w:val="99"/>
    <w:rsid w:val="00B53CB3"/>
    <w:rPr>
      <w:rFonts w:eastAsia="Times New Roman" w:cs="Times New Roman"/>
    </w:rPr>
  </w:style>
  <w:style w:type="paragraph" w:styleId="Footer">
    <w:name w:val="footer"/>
    <w:basedOn w:val="Normal"/>
    <w:link w:val="FooterChar"/>
    <w:uiPriority w:val="99"/>
    <w:unhideWhenUsed/>
    <w:rsid w:val="00B53CB3"/>
    <w:pPr>
      <w:tabs>
        <w:tab w:val="center" w:pos="4513"/>
        <w:tab w:val="right" w:pos="9026"/>
      </w:tabs>
    </w:pPr>
  </w:style>
  <w:style w:type="character" w:customStyle="1" w:styleId="FooterChar">
    <w:name w:val="Footer Char"/>
    <w:basedOn w:val="DefaultParagraphFont"/>
    <w:link w:val="Footer"/>
    <w:uiPriority w:val="99"/>
    <w:rsid w:val="00B53CB3"/>
    <w:rPr>
      <w:rFonts w:eastAsia="Times New Roman" w:cs="Times New Roman"/>
    </w:rPr>
  </w:style>
  <w:style w:type="character" w:styleId="Hyperlink">
    <w:name w:val="Hyperlink"/>
    <w:basedOn w:val="DefaultParagraphFont"/>
    <w:uiPriority w:val="99"/>
    <w:unhideWhenUsed/>
    <w:rsid w:val="00DE7627"/>
    <w:rPr>
      <w:color w:val="0000FF" w:themeColor="hyperlink"/>
      <w:u w:val="single"/>
    </w:rPr>
  </w:style>
  <w:style w:type="paragraph" w:styleId="FootnoteText">
    <w:name w:val="footnote text"/>
    <w:basedOn w:val="Normal"/>
    <w:link w:val="FootnoteTextChar"/>
    <w:uiPriority w:val="99"/>
    <w:semiHidden/>
    <w:unhideWhenUsed/>
    <w:rsid w:val="00050D31"/>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50D31"/>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050D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2924">
      <w:bodyDiv w:val="1"/>
      <w:marLeft w:val="0"/>
      <w:marRight w:val="0"/>
      <w:marTop w:val="0"/>
      <w:marBottom w:val="0"/>
      <w:divBdr>
        <w:top w:val="none" w:sz="0" w:space="0" w:color="auto"/>
        <w:left w:val="none" w:sz="0" w:space="0" w:color="auto"/>
        <w:bottom w:val="none" w:sz="0" w:space="0" w:color="auto"/>
        <w:right w:val="none" w:sz="0" w:space="0" w:color="auto"/>
      </w:divBdr>
      <w:divsChild>
        <w:div w:id="236790153">
          <w:marLeft w:val="0"/>
          <w:marRight w:val="0"/>
          <w:marTop w:val="0"/>
          <w:marBottom w:val="100"/>
          <w:divBdr>
            <w:top w:val="none" w:sz="0" w:space="0" w:color="auto"/>
            <w:left w:val="none" w:sz="0" w:space="0" w:color="auto"/>
            <w:bottom w:val="none" w:sz="0" w:space="0" w:color="auto"/>
            <w:right w:val="none" w:sz="0" w:space="0" w:color="auto"/>
          </w:divBdr>
          <w:divsChild>
            <w:div w:id="1666470404">
              <w:marLeft w:val="0"/>
              <w:marRight w:val="0"/>
              <w:marTop w:val="0"/>
              <w:marBottom w:val="0"/>
              <w:divBdr>
                <w:top w:val="none" w:sz="0" w:space="0" w:color="auto"/>
                <w:left w:val="none" w:sz="0" w:space="0" w:color="auto"/>
                <w:bottom w:val="none" w:sz="0" w:space="0" w:color="auto"/>
                <w:right w:val="none" w:sz="0" w:space="0" w:color="auto"/>
              </w:divBdr>
              <w:divsChild>
                <w:div w:id="335115488">
                  <w:marLeft w:val="2700"/>
                  <w:marRight w:val="0"/>
                  <w:marTop w:val="0"/>
                  <w:marBottom w:val="0"/>
                  <w:divBdr>
                    <w:top w:val="none" w:sz="0" w:space="0" w:color="auto"/>
                    <w:left w:val="none" w:sz="0" w:space="0" w:color="auto"/>
                    <w:bottom w:val="none" w:sz="0" w:space="0" w:color="auto"/>
                    <w:right w:val="none" w:sz="0" w:space="0" w:color="auto"/>
                  </w:divBdr>
                  <w:divsChild>
                    <w:div w:id="2068070992">
                      <w:marLeft w:val="285"/>
                      <w:marRight w:val="285"/>
                      <w:marTop w:val="285"/>
                      <w:marBottom w:val="285"/>
                      <w:divBdr>
                        <w:top w:val="none" w:sz="0" w:space="0" w:color="auto"/>
                        <w:left w:val="none" w:sz="0" w:space="0" w:color="auto"/>
                        <w:bottom w:val="none" w:sz="0" w:space="0" w:color="auto"/>
                        <w:right w:val="none" w:sz="0" w:space="0" w:color="auto"/>
                      </w:divBdr>
                      <w:divsChild>
                        <w:div w:id="1617905205">
                          <w:marLeft w:val="0"/>
                          <w:marRight w:val="0"/>
                          <w:marTop w:val="0"/>
                          <w:marBottom w:val="0"/>
                          <w:divBdr>
                            <w:top w:val="none" w:sz="0" w:space="0" w:color="auto"/>
                            <w:left w:val="none" w:sz="0" w:space="0" w:color="auto"/>
                            <w:bottom w:val="none" w:sz="0" w:space="0" w:color="auto"/>
                            <w:right w:val="none" w:sz="0" w:space="0" w:color="auto"/>
                          </w:divBdr>
                          <w:divsChild>
                            <w:div w:id="169877155">
                              <w:marLeft w:val="0"/>
                              <w:marRight w:val="0"/>
                              <w:marTop w:val="0"/>
                              <w:marBottom w:val="0"/>
                              <w:divBdr>
                                <w:top w:val="none" w:sz="0" w:space="0" w:color="auto"/>
                                <w:left w:val="none" w:sz="0" w:space="0" w:color="auto"/>
                                <w:bottom w:val="none" w:sz="0" w:space="0" w:color="auto"/>
                                <w:right w:val="none" w:sz="0" w:space="0" w:color="auto"/>
                              </w:divBdr>
                              <w:divsChild>
                                <w:div w:id="1269849820">
                                  <w:marLeft w:val="120"/>
                                  <w:marRight w:val="0"/>
                                  <w:marTop w:val="120"/>
                                  <w:marBottom w:val="120"/>
                                  <w:divBdr>
                                    <w:top w:val="none" w:sz="0" w:space="0" w:color="auto"/>
                                    <w:left w:val="none" w:sz="0" w:space="0" w:color="auto"/>
                                    <w:bottom w:val="none" w:sz="0" w:space="0" w:color="auto"/>
                                    <w:right w:val="none" w:sz="0" w:space="0" w:color="auto"/>
                                  </w:divBdr>
                                  <w:divsChild>
                                    <w:div w:id="11332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09966">
      <w:bodyDiv w:val="1"/>
      <w:marLeft w:val="0"/>
      <w:marRight w:val="0"/>
      <w:marTop w:val="0"/>
      <w:marBottom w:val="0"/>
      <w:divBdr>
        <w:top w:val="none" w:sz="0" w:space="0" w:color="auto"/>
        <w:left w:val="none" w:sz="0" w:space="0" w:color="auto"/>
        <w:bottom w:val="none" w:sz="0" w:space="0" w:color="auto"/>
        <w:right w:val="none" w:sz="0" w:space="0" w:color="auto"/>
      </w:divBdr>
      <w:divsChild>
        <w:div w:id="781270144">
          <w:marLeft w:val="0"/>
          <w:marRight w:val="0"/>
          <w:marTop w:val="0"/>
          <w:marBottom w:val="100"/>
          <w:divBdr>
            <w:top w:val="none" w:sz="0" w:space="0" w:color="auto"/>
            <w:left w:val="none" w:sz="0" w:space="0" w:color="auto"/>
            <w:bottom w:val="none" w:sz="0" w:space="0" w:color="auto"/>
            <w:right w:val="none" w:sz="0" w:space="0" w:color="auto"/>
          </w:divBdr>
          <w:divsChild>
            <w:div w:id="475529557">
              <w:marLeft w:val="0"/>
              <w:marRight w:val="0"/>
              <w:marTop w:val="0"/>
              <w:marBottom w:val="0"/>
              <w:divBdr>
                <w:top w:val="none" w:sz="0" w:space="0" w:color="auto"/>
                <w:left w:val="none" w:sz="0" w:space="0" w:color="auto"/>
                <w:bottom w:val="none" w:sz="0" w:space="0" w:color="auto"/>
                <w:right w:val="none" w:sz="0" w:space="0" w:color="auto"/>
              </w:divBdr>
              <w:divsChild>
                <w:div w:id="380712661">
                  <w:marLeft w:val="2700"/>
                  <w:marRight w:val="0"/>
                  <w:marTop w:val="0"/>
                  <w:marBottom w:val="0"/>
                  <w:divBdr>
                    <w:top w:val="none" w:sz="0" w:space="0" w:color="auto"/>
                    <w:left w:val="none" w:sz="0" w:space="0" w:color="auto"/>
                    <w:bottom w:val="none" w:sz="0" w:space="0" w:color="auto"/>
                    <w:right w:val="none" w:sz="0" w:space="0" w:color="auto"/>
                  </w:divBdr>
                  <w:divsChild>
                    <w:div w:id="53553038">
                      <w:marLeft w:val="285"/>
                      <w:marRight w:val="285"/>
                      <w:marTop w:val="285"/>
                      <w:marBottom w:val="285"/>
                      <w:divBdr>
                        <w:top w:val="none" w:sz="0" w:space="0" w:color="auto"/>
                        <w:left w:val="none" w:sz="0" w:space="0" w:color="auto"/>
                        <w:bottom w:val="none" w:sz="0" w:space="0" w:color="auto"/>
                        <w:right w:val="none" w:sz="0" w:space="0" w:color="auto"/>
                      </w:divBdr>
                      <w:divsChild>
                        <w:div w:id="226887440">
                          <w:marLeft w:val="0"/>
                          <w:marRight w:val="0"/>
                          <w:marTop w:val="0"/>
                          <w:marBottom w:val="0"/>
                          <w:divBdr>
                            <w:top w:val="none" w:sz="0" w:space="0" w:color="auto"/>
                            <w:left w:val="none" w:sz="0" w:space="0" w:color="auto"/>
                            <w:bottom w:val="none" w:sz="0" w:space="0" w:color="auto"/>
                            <w:right w:val="none" w:sz="0" w:space="0" w:color="auto"/>
                          </w:divBdr>
                          <w:divsChild>
                            <w:div w:id="1284389532">
                              <w:marLeft w:val="0"/>
                              <w:marRight w:val="0"/>
                              <w:marTop w:val="0"/>
                              <w:marBottom w:val="0"/>
                              <w:divBdr>
                                <w:top w:val="none" w:sz="0" w:space="0" w:color="auto"/>
                                <w:left w:val="none" w:sz="0" w:space="0" w:color="auto"/>
                                <w:bottom w:val="none" w:sz="0" w:space="0" w:color="auto"/>
                                <w:right w:val="none" w:sz="0" w:space="0" w:color="auto"/>
                              </w:divBdr>
                              <w:divsChild>
                                <w:div w:id="1345591293">
                                  <w:marLeft w:val="120"/>
                                  <w:marRight w:val="0"/>
                                  <w:marTop w:val="120"/>
                                  <w:marBottom w:val="120"/>
                                  <w:divBdr>
                                    <w:top w:val="none" w:sz="0" w:space="0" w:color="auto"/>
                                    <w:left w:val="none" w:sz="0" w:space="0" w:color="auto"/>
                                    <w:bottom w:val="none" w:sz="0" w:space="0" w:color="auto"/>
                                    <w:right w:val="none" w:sz="0" w:space="0" w:color="auto"/>
                                  </w:divBdr>
                                  <w:divsChild>
                                    <w:div w:id="9754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870266">
      <w:bodyDiv w:val="1"/>
      <w:marLeft w:val="0"/>
      <w:marRight w:val="0"/>
      <w:marTop w:val="0"/>
      <w:marBottom w:val="0"/>
      <w:divBdr>
        <w:top w:val="none" w:sz="0" w:space="0" w:color="auto"/>
        <w:left w:val="none" w:sz="0" w:space="0" w:color="auto"/>
        <w:bottom w:val="none" w:sz="0" w:space="0" w:color="auto"/>
        <w:right w:val="none" w:sz="0" w:space="0" w:color="auto"/>
      </w:divBdr>
    </w:div>
    <w:div w:id="996496280">
      <w:bodyDiv w:val="1"/>
      <w:marLeft w:val="0"/>
      <w:marRight w:val="0"/>
      <w:marTop w:val="0"/>
      <w:marBottom w:val="0"/>
      <w:divBdr>
        <w:top w:val="none" w:sz="0" w:space="0" w:color="auto"/>
        <w:left w:val="none" w:sz="0" w:space="0" w:color="auto"/>
        <w:bottom w:val="none" w:sz="0" w:space="0" w:color="auto"/>
        <w:right w:val="none" w:sz="0" w:space="0" w:color="auto"/>
      </w:divBdr>
    </w:div>
    <w:div w:id="1151364083">
      <w:bodyDiv w:val="1"/>
      <w:marLeft w:val="0"/>
      <w:marRight w:val="0"/>
      <w:marTop w:val="0"/>
      <w:marBottom w:val="0"/>
      <w:divBdr>
        <w:top w:val="none" w:sz="0" w:space="0" w:color="auto"/>
        <w:left w:val="none" w:sz="0" w:space="0" w:color="auto"/>
        <w:bottom w:val="none" w:sz="0" w:space="0" w:color="auto"/>
        <w:right w:val="none" w:sz="0" w:space="0" w:color="auto"/>
      </w:divBdr>
    </w:div>
    <w:div w:id="188521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A080A-04C9-4C5F-BC0F-F538A1206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4007</Words>
  <Characters>22840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Patricia.Jones</dc:creator>
  <cp:lastModifiedBy>BROWN Andrew J</cp:lastModifiedBy>
  <cp:revision>4</cp:revision>
  <dcterms:created xsi:type="dcterms:W3CDTF">2016-02-12T11:20:00Z</dcterms:created>
  <dcterms:modified xsi:type="dcterms:W3CDTF">2016-02-23T11:43:00Z</dcterms:modified>
</cp:coreProperties>
</file>